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TALLER DE URBANISMO 2</w:t>
      </w:r>
    </w:p>
    <w:p w:rsidR="00000000" w:rsidDel="00000000" w:rsidP="00000000" w:rsidRDefault="00000000" w:rsidRPr="00000000" w14:paraId="00000002">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3">
      <w:pPr>
        <w:numPr>
          <w:ilvl w:val="0"/>
          <w:numId w:val="4"/>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INFORMACIÓN GENERAL</w:t>
      </w:r>
      <w:r w:rsidDel="00000000" w:rsidR="00000000" w:rsidRPr="00000000">
        <w:rPr>
          <w:rtl w:val="0"/>
        </w:rPr>
      </w:r>
    </w:p>
    <w:p w:rsidR="00000000" w:rsidDel="00000000" w:rsidP="00000000" w:rsidRDefault="00000000" w:rsidRPr="00000000" w14:paraId="00000004">
      <w:pPr>
        <w:rPr>
          <w:rFonts w:ascii="Gill Sans" w:cs="Gill Sans" w:eastAsia="Gill Sans" w:hAnsi="Gill Sans"/>
        </w:rPr>
      </w:pPr>
      <w:r w:rsidDel="00000000" w:rsidR="00000000" w:rsidRPr="00000000">
        <w:rPr>
          <w:rtl w:val="0"/>
        </w:rPr>
      </w:r>
    </w:p>
    <w:tbl>
      <w:tblPr>
        <w:tblStyle w:val="Table1"/>
        <w:tblW w:w="8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6"/>
        <w:gridCol w:w="283"/>
        <w:gridCol w:w="2389"/>
        <w:gridCol w:w="1526"/>
        <w:gridCol w:w="283"/>
        <w:gridCol w:w="2268"/>
        <w:tblGridChange w:id="0">
          <w:tblGrid>
            <w:gridCol w:w="1686"/>
            <w:gridCol w:w="283"/>
            <w:gridCol w:w="2389"/>
            <w:gridCol w:w="1526"/>
            <w:gridCol w:w="283"/>
            <w:gridCol w:w="2268"/>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tcBorders>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Taller de urbanismo 2</w:t>
            </w:r>
          </w:p>
          <w:p w:rsidR="00000000" w:rsidDel="00000000" w:rsidP="00000000" w:rsidRDefault="00000000" w:rsidRPr="00000000" w14:paraId="00000008">
            <w:pPr>
              <w:rPr>
                <w:rFonts w:ascii="Gill Sans" w:cs="Gill Sans" w:eastAsia="Gill Sans" w:hAnsi="Gill Sans"/>
                <w:sz w:val="20"/>
                <w:szCs w:val="20"/>
              </w:rPr>
            </w:pPr>
            <w:r w:rsidDel="00000000" w:rsidR="00000000" w:rsidRPr="00000000">
              <w:rPr>
                <w:rtl w:val="0"/>
              </w:rPr>
            </w:r>
          </w:p>
        </w:tc>
        <w:tc>
          <w:tcPr>
            <w:tcBorders>
              <w:top w:color="000000" w:space="0" w:sz="8" w:val="single"/>
              <w:right w:color="000000" w:space="0" w:sz="0" w:val="nil"/>
            </w:tcBorders>
            <w:shd w:fill="d9d9d9" w:val="clear"/>
          </w:tcPr>
          <w:p w:rsidR="00000000" w:rsidDel="00000000" w:rsidP="00000000" w:rsidRDefault="00000000" w:rsidRPr="00000000" w14:paraId="0000000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right w:color="000000" w:space="0" w:sz="8" w:val="single"/>
            </w:tcBorders>
          </w:tcPr>
          <w:p w:rsidR="00000000" w:rsidDel="00000000" w:rsidP="00000000" w:rsidRDefault="00000000" w:rsidRPr="00000000" w14:paraId="0000000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URB210</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Ciclo</w:t>
            </w:r>
          </w:p>
        </w:tc>
        <w:tc>
          <w:tcPr>
            <w:tcBorders>
              <w:left w:color="000000" w:space="0" w:sz="0" w:val="nil"/>
            </w:tcBorders>
            <w:shd w:fill="d9d9d9" w:val="clear"/>
          </w:tcPr>
          <w:p w:rsidR="00000000" w:rsidDel="00000000" w:rsidP="00000000" w:rsidRDefault="00000000" w:rsidRPr="00000000" w14:paraId="0000000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0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Séptimo </w:t>
            </w:r>
          </w:p>
        </w:tc>
        <w:tc>
          <w:tcPr>
            <w:tcBorders>
              <w:right w:color="000000" w:space="0" w:sz="0" w:val="nil"/>
            </w:tcBorders>
            <w:shd w:fill="d9d9d9" w:val="clear"/>
          </w:tcPr>
          <w:p w:rsidR="00000000" w:rsidDel="00000000" w:rsidP="00000000" w:rsidRDefault="00000000" w:rsidRPr="00000000" w14:paraId="0000000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Semestre</w:t>
            </w:r>
          </w:p>
        </w:tc>
        <w:tc>
          <w:tcPr>
            <w:tcBorders>
              <w:left w:color="000000" w:space="0" w:sz="0" w:val="nil"/>
            </w:tcBorders>
            <w:shd w:fill="d9d9d9" w:val="clear"/>
          </w:tcPr>
          <w:p w:rsidR="00000000" w:rsidDel="00000000" w:rsidP="00000000" w:rsidRDefault="00000000" w:rsidRPr="00000000" w14:paraId="0000001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2023-1</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Profesor</w:t>
            </w:r>
          </w:p>
        </w:tc>
        <w:tc>
          <w:tcPr>
            <w:tcBorders>
              <w:left w:color="000000" w:space="0" w:sz="0" w:val="nil"/>
            </w:tcBorders>
            <w:shd w:fill="d9d9d9" w:val="clear"/>
          </w:tcPr>
          <w:p w:rsidR="00000000" w:rsidDel="00000000" w:rsidP="00000000" w:rsidRDefault="00000000" w:rsidRPr="00000000" w14:paraId="0000001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1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Elisabet Olivares</w:t>
            </w:r>
          </w:p>
          <w:p w:rsidR="00000000" w:rsidDel="00000000" w:rsidP="00000000" w:rsidRDefault="00000000" w:rsidRPr="00000000" w14:paraId="00000015">
            <w:pPr>
              <w:rPr>
                <w:rFonts w:ascii="Gill Sans" w:cs="Gill Sans" w:eastAsia="Gill Sans" w:hAnsi="Gill Sans"/>
                <w:sz w:val="20"/>
                <w:szCs w:val="20"/>
                <w:highlight w:val="magenta"/>
              </w:rPr>
            </w:pPr>
            <w:r w:rsidDel="00000000" w:rsidR="00000000" w:rsidRPr="00000000">
              <w:rPr>
                <w:rFonts w:ascii="Gill Sans" w:cs="Gill Sans" w:eastAsia="Gill Sans" w:hAnsi="Gill Sans"/>
                <w:sz w:val="20"/>
                <w:szCs w:val="20"/>
                <w:rtl w:val="0"/>
              </w:rPr>
              <w:t xml:space="preserve">Alejandro Gonzales</w:t>
            </w: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1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Horario</w:t>
            </w:r>
          </w:p>
        </w:tc>
        <w:tc>
          <w:tcPr>
            <w:tcBorders>
              <w:left w:color="000000" w:space="0" w:sz="0" w:val="nil"/>
            </w:tcBorders>
            <w:shd w:fill="d9d9d9" w:val="clear"/>
          </w:tcPr>
          <w:p w:rsidR="00000000" w:rsidDel="00000000" w:rsidP="00000000" w:rsidRDefault="00000000" w:rsidRPr="00000000" w14:paraId="0000001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0701</w:t>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vMerge w:val="restart"/>
          </w:tcPr>
          <w:p w:rsidR="00000000" w:rsidDel="00000000" w:rsidP="00000000" w:rsidRDefault="00000000" w:rsidRPr="00000000" w14:paraId="0000001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w:t>
            </w:r>
          </w:p>
        </w:tc>
        <w:tc>
          <w:tcPr>
            <w:tcBorders>
              <w:right w:color="000000" w:space="0" w:sz="0" w:val="nil"/>
            </w:tcBorders>
            <w:shd w:fill="d9d9d9" w:val="clear"/>
          </w:tcPr>
          <w:p w:rsidR="00000000" w:rsidDel="00000000" w:rsidP="00000000" w:rsidRDefault="00000000" w:rsidRPr="00000000" w14:paraId="0000001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teóricas</w:t>
            </w:r>
          </w:p>
        </w:tc>
        <w:tc>
          <w:tcPr>
            <w:tcBorders>
              <w:left w:color="000000" w:space="0" w:sz="0" w:val="nil"/>
            </w:tcBorders>
            <w:shd w:fill="d9d9d9" w:val="clear"/>
          </w:tcPr>
          <w:p w:rsidR="00000000" w:rsidDel="00000000" w:rsidP="00000000" w:rsidRDefault="00000000" w:rsidRPr="00000000" w14:paraId="0000001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Área curricular</w:t>
            </w:r>
          </w:p>
        </w:tc>
        <w:tc>
          <w:tcPr>
            <w:tcBorders>
              <w:left w:color="000000" w:space="0" w:sz="0" w:val="nil"/>
            </w:tcBorders>
            <w:shd w:fill="d9d9d9" w:val="clear"/>
          </w:tcPr>
          <w:p w:rsidR="00000000" w:rsidDel="00000000" w:rsidP="00000000" w:rsidRDefault="00000000" w:rsidRPr="00000000" w14:paraId="0000002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2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Urbanismo</w:t>
            </w:r>
          </w:p>
        </w:tc>
        <w:tc>
          <w:tcPr>
            <w:tcBorders>
              <w:right w:color="000000" w:space="0" w:sz="0" w:val="nil"/>
            </w:tcBorders>
            <w:shd w:fill="d9d9d9" w:val="clear"/>
          </w:tcPr>
          <w:p w:rsidR="00000000" w:rsidDel="00000000" w:rsidP="00000000" w:rsidRDefault="00000000" w:rsidRPr="00000000" w14:paraId="0000002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Requisitos</w:t>
            </w:r>
          </w:p>
        </w:tc>
        <w:tc>
          <w:tcPr>
            <w:tcBorders>
              <w:left w:color="000000" w:space="0" w:sz="0" w:val="nil"/>
            </w:tcBorders>
            <w:shd w:fill="d9d9d9" w:val="clear"/>
          </w:tcPr>
          <w:p w:rsidR="00000000" w:rsidDel="00000000" w:rsidP="00000000" w:rsidRDefault="00000000" w:rsidRPr="00000000" w14:paraId="0000002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Taller de urbanismo 1</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Taller 5</w:t>
            </w:r>
          </w:p>
        </w:tc>
      </w:tr>
    </w:tbl>
    <w:p w:rsidR="00000000" w:rsidDel="00000000" w:rsidP="00000000" w:rsidRDefault="00000000" w:rsidRPr="00000000" w14:paraId="0000002C">
      <w:pPr>
        <w:rPr>
          <w:rFonts w:ascii="Gill Sans" w:cs="Gill Sans" w:eastAsia="Gill Sans" w:hAnsi="Gill Sans"/>
        </w:rPr>
      </w:pPr>
      <w:r w:rsidDel="00000000" w:rsidR="00000000" w:rsidRPr="00000000">
        <w:rPr>
          <w:rtl w:val="0"/>
        </w:rPr>
      </w:r>
    </w:p>
    <w:p w:rsidR="00000000" w:rsidDel="00000000" w:rsidP="00000000" w:rsidRDefault="00000000" w:rsidRPr="00000000" w14:paraId="0000002D">
      <w:pPr>
        <w:rPr>
          <w:rFonts w:ascii="Gill Sans" w:cs="Gill Sans" w:eastAsia="Gill Sans" w:hAnsi="Gill Sans"/>
        </w:rPr>
      </w:pPr>
      <w:r w:rsidDel="00000000" w:rsidR="00000000" w:rsidRPr="00000000">
        <w:rPr>
          <w:rtl w:val="0"/>
        </w:rPr>
      </w:r>
    </w:p>
    <w:p w:rsidR="00000000" w:rsidDel="00000000" w:rsidP="00000000" w:rsidRDefault="00000000" w:rsidRPr="00000000" w14:paraId="0000002E">
      <w:pPr>
        <w:numPr>
          <w:ilvl w:val="0"/>
          <w:numId w:val="4"/>
        </w:numPr>
        <w:ind w:left="142" w:hanging="360"/>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DESCRIPCIÓN DEL CURSO</w:t>
      </w:r>
      <w:r w:rsidDel="00000000" w:rsidR="00000000" w:rsidRPr="00000000">
        <w:rPr>
          <w:rtl w:val="0"/>
        </w:rPr>
      </w:r>
    </w:p>
    <w:p w:rsidR="00000000" w:rsidDel="00000000" w:rsidP="00000000" w:rsidRDefault="00000000" w:rsidRPr="00000000" w14:paraId="0000002F">
      <w:pP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0">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El Taller de Urbanismo 2 busca que el estudiante aprenda a desarrollar el diseño urbano de un proyecto de talla intermedia, que abarque un sector de la ciudad. Para ello se plantea un problema urbano específico y un caso de estudio, los que se abordan mediante un marco conceptual teórico-práctico adecuado. Se plantea una metodología que permite un trabajo secuencial y una aproximación a través de distintas escalas del espacio urbano.</w:t>
      </w:r>
    </w:p>
    <w:p w:rsidR="00000000" w:rsidDel="00000000" w:rsidP="00000000" w:rsidRDefault="00000000" w:rsidRPr="00000000" w14:paraId="00000031">
      <w:pPr>
        <w:jc w:val="both"/>
        <w:rPr>
          <w:sz w:val="20"/>
          <w:szCs w:val="20"/>
        </w:rPr>
      </w:pPr>
      <w:r w:rsidDel="00000000" w:rsidR="00000000" w:rsidRPr="00000000">
        <w:rPr>
          <w:rtl w:val="0"/>
        </w:rPr>
      </w:r>
    </w:p>
    <w:p w:rsidR="00000000" w:rsidDel="00000000" w:rsidP="00000000" w:rsidRDefault="00000000" w:rsidRPr="00000000" w14:paraId="00000032">
      <w:pPr>
        <w:jc w:val="both"/>
        <w:rPr>
          <w:rFonts w:ascii="Gill Sans" w:cs="Gill Sans" w:eastAsia="Gill Sans" w:hAnsi="Gill Sans"/>
          <w:color w:val="ff0000"/>
        </w:rPr>
      </w:pPr>
      <w:r w:rsidDel="00000000" w:rsidR="00000000" w:rsidRPr="00000000">
        <w:rPr>
          <w:rtl w:val="0"/>
        </w:rPr>
      </w:r>
    </w:p>
    <w:p w:rsidR="00000000" w:rsidDel="00000000" w:rsidP="00000000" w:rsidRDefault="00000000" w:rsidRPr="00000000" w14:paraId="00000033">
      <w:pPr>
        <w:numPr>
          <w:ilvl w:val="0"/>
          <w:numId w:val="4"/>
        </w:numPr>
        <w:ind w:left="142" w:hanging="360"/>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METODOLOGÍA</w:t>
      </w:r>
      <w:r w:rsidDel="00000000" w:rsidR="00000000" w:rsidRPr="00000000">
        <w:rPr>
          <w:rtl w:val="0"/>
        </w:rPr>
      </w:r>
    </w:p>
    <w:p w:rsidR="00000000" w:rsidDel="00000000" w:rsidP="00000000" w:rsidRDefault="00000000" w:rsidRPr="00000000" w14:paraId="00000034">
      <w:pPr>
        <w:ind w:left="142"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El taller tiene sesiones una vez por semana. Se organiza en sesiones de cuatro horas continuas, de las cuales dos horas son teóricas y dos horas son prácticas.</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Gill Sans" w:cs="Gill Sans" w:eastAsia="Gill Sans" w:hAnsi="Gill Sans"/>
          <w:sz w:val="20"/>
          <w:szCs w:val="20"/>
          <w:u w:val="single"/>
        </w:rPr>
      </w:pPr>
      <w:r w:rsidDel="00000000" w:rsidR="00000000" w:rsidRPr="00000000">
        <w:rPr>
          <w:rFonts w:ascii="Gill Sans" w:cs="Gill Sans" w:eastAsia="Gill Sans" w:hAnsi="Gill Sans"/>
          <w:sz w:val="20"/>
          <w:szCs w:val="20"/>
          <w:u w:val="single"/>
          <w:rtl w:val="0"/>
        </w:rPr>
        <w:t xml:space="preserve">Sesiones de teoría:</w:t>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Las sesiones de teoría se destinan a construir colectivamente los conceptos teóricos y aplicados relativos a los contenidos del taller. Para ello, los docentes brindan exposiciones magistrales y fomentan discusiones grupales sobre textos o temas. Los estudiantes leen y exponen textos relevantes a partir de los cuales se promueve el debate en clase. Asimismo, se incorporan charlas de docentes y/o especialistas invitados que tratan temas de interés para el taller.</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rFonts w:ascii="Gill Sans" w:cs="Gill Sans" w:eastAsia="Gill Sans" w:hAnsi="Gill Sans"/>
          <w:sz w:val="20"/>
          <w:szCs w:val="20"/>
          <w:u w:val="single"/>
        </w:rPr>
      </w:pPr>
      <w:r w:rsidDel="00000000" w:rsidR="00000000" w:rsidRPr="00000000">
        <w:rPr>
          <w:rFonts w:ascii="Gill Sans" w:cs="Gill Sans" w:eastAsia="Gill Sans" w:hAnsi="Gill Sans"/>
          <w:sz w:val="20"/>
          <w:szCs w:val="20"/>
          <w:u w:val="single"/>
          <w:rtl w:val="0"/>
        </w:rPr>
        <w:t xml:space="preserve">Sesiones de práctica:</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Las sesiones de práctica se destinan al desarrollo de los proyectos, acompañado de críticas grupales. Los docentes realizan un seguimiento continuo de los avances del trabajo.</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Gill Sans" w:cs="Gill Sans" w:eastAsia="Gill Sans" w:hAnsi="Gill Sans"/>
          <w:sz w:val="20"/>
          <w:szCs w:val="20"/>
          <w:u w:val="single"/>
        </w:rPr>
      </w:pPr>
      <w:r w:rsidDel="00000000" w:rsidR="00000000" w:rsidRPr="00000000">
        <w:rPr>
          <w:rFonts w:ascii="Gill Sans" w:cs="Gill Sans" w:eastAsia="Gill Sans" w:hAnsi="Gill Sans"/>
          <w:sz w:val="20"/>
          <w:szCs w:val="20"/>
          <w:u w:val="single"/>
          <w:rtl w:val="0"/>
        </w:rPr>
        <w:t xml:space="preserve">Modo de dictado:</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El taller se desarrolla de forma presencial. De manera sincrónica, se llevan a cabo las sesiones expositivas, de discusión colectiva y de crítica de proyecto. De manera asincrónica, los estudiantes leen los textos propuestos, investigan los temas asignados y desarrollan los proyectos de diseño urbano. Se emplea la plataforma PAIDEIA de manera complementaria. Se plantea una salida de campo de carácter opcional.</w:t>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40">
      <w:pPr>
        <w:jc w:val="both"/>
        <w:rPr>
          <w:rFonts w:ascii="Gill Sans" w:cs="Gill Sans" w:eastAsia="Gill Sans" w:hAnsi="Gill Sans"/>
          <w:sz w:val="20"/>
          <w:szCs w:val="20"/>
          <w:u w:val="single"/>
        </w:rPr>
      </w:pPr>
      <w:r w:rsidDel="00000000" w:rsidR="00000000" w:rsidRPr="00000000">
        <w:rPr>
          <w:rFonts w:ascii="Gill Sans" w:cs="Gill Sans" w:eastAsia="Gill Sans" w:hAnsi="Gill Sans"/>
          <w:sz w:val="20"/>
          <w:szCs w:val="20"/>
          <w:u w:val="single"/>
          <w:rtl w:val="0"/>
        </w:rPr>
        <w:t xml:space="preserve">Herramientas:</w:t>
      </w:r>
    </w:p>
    <w:p w:rsidR="00000000" w:rsidDel="00000000" w:rsidP="00000000" w:rsidRDefault="00000000" w:rsidRPr="00000000" w14:paraId="00000041">
      <w:pPr>
        <w:jc w:val="both"/>
        <w:rPr>
          <w:rFonts w:ascii="Gill Sans" w:cs="Gill Sans" w:eastAsia="Gill Sans" w:hAnsi="Gill Sans"/>
          <w:sz w:val="20"/>
          <w:szCs w:val="20"/>
          <w:u w:val="single"/>
        </w:rPr>
      </w:pPr>
      <w:r w:rsidDel="00000000" w:rsidR="00000000" w:rsidRPr="00000000">
        <w:rPr>
          <w:rFonts w:ascii="Gill Sans" w:cs="Gill Sans" w:eastAsia="Gill Sans" w:hAnsi="Gill Sans"/>
          <w:sz w:val="20"/>
          <w:szCs w:val="20"/>
          <w:rtl w:val="0"/>
        </w:rPr>
        <w:t xml:space="preserve">Se promueve el uso de herramientas para recopilar, visualizar y analizar datos de la ciudad para ayudar en la toma de decisiones de la planificación y el diseño, implementando el uso de herramientas tales como las bases de datos y los Sistemas de Información Geográfica (SIG/GIS). Asimismo, se hace uso de las herramientas digitales como Drive y PAIDEIA a fin de facilitar la comunicación fluida y el intercambio de información adecuado.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Gill Sans" w:cs="Gill Sans" w:eastAsia="Gill Sans" w:hAnsi="Gill Sans"/>
          <w:sz w:val="20"/>
          <w:szCs w:val="20"/>
          <w:u w:val="singl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Gill Sans" w:cs="Gill Sans" w:eastAsia="Gill Sans" w:hAnsi="Gill Sans"/>
          <w:sz w:val="20"/>
          <w:szCs w:val="20"/>
          <w:u w:val="single"/>
        </w:rPr>
      </w:pPr>
      <w:r w:rsidDel="00000000" w:rsidR="00000000" w:rsidRPr="00000000">
        <w:rPr>
          <w:rFonts w:ascii="Gill Sans" w:cs="Gill Sans" w:eastAsia="Gill Sans" w:hAnsi="Gill Sans"/>
          <w:sz w:val="20"/>
          <w:szCs w:val="20"/>
          <w:u w:val="single"/>
          <w:rtl w:val="0"/>
        </w:rPr>
        <w:t xml:space="preserve">Desarrollo en el ciclo:</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Para el desarrollo del proyecto de diseño urbano, los estudiantes forman grupos de trabajo que se mantienen a lo largo del ciclo alentando el aprendizaje colaborativo y permitiendo un desarrollo coherente del proyecto. En las sesiones de teoría, se forman grupos de discusiones para que los estudiantes compartan ideas e interactúen con distintos compañeros a lo largo del semestre. La relación entre docentes y estudiantes busca ser horizontal. En ese sentido, los docentes cumplen el rol de orientación del trabajo grupal y fomentan el diálogo y la reflexión crítica, y los estudiantes cumplen un rol proactivo y propositivo.</w:t>
      </w:r>
    </w:p>
    <w:p w:rsidR="00000000" w:rsidDel="00000000" w:rsidP="00000000" w:rsidRDefault="00000000" w:rsidRPr="00000000" w14:paraId="00000045">
      <w:pPr>
        <w:rPr>
          <w:rFonts w:ascii="Gill Sans" w:cs="Gill Sans" w:eastAsia="Gill Sans" w:hAnsi="Gill Sans"/>
          <w:color w:val="0000ff"/>
        </w:rPr>
      </w:pPr>
      <w:r w:rsidDel="00000000" w:rsidR="00000000" w:rsidRPr="00000000">
        <w:rPr>
          <w:rtl w:val="0"/>
        </w:rPr>
      </w:r>
    </w:p>
    <w:p w:rsidR="00000000" w:rsidDel="00000000" w:rsidP="00000000" w:rsidRDefault="00000000" w:rsidRPr="00000000" w14:paraId="00000046">
      <w:pPr>
        <w:numPr>
          <w:ilvl w:val="0"/>
          <w:numId w:val="4"/>
        </w:numPr>
        <w:ind w:left="142" w:hanging="360"/>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EVALUACIÓN</w:t>
      </w:r>
      <w:r w:rsidDel="00000000" w:rsidR="00000000" w:rsidRPr="00000000">
        <w:rPr>
          <w:rtl w:val="0"/>
        </w:rPr>
      </w:r>
    </w:p>
    <w:p w:rsidR="00000000" w:rsidDel="00000000" w:rsidP="00000000" w:rsidRDefault="00000000" w:rsidRPr="00000000" w14:paraId="00000047">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8">
      <w:pPr>
        <w:numPr>
          <w:ilvl w:val="1"/>
          <w:numId w:val="4"/>
        </w:numPr>
        <w:ind w:left="567"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Sistema de evaluación</w:t>
      </w:r>
    </w:p>
    <w:p w:rsidR="00000000" w:rsidDel="00000000" w:rsidP="00000000" w:rsidRDefault="00000000" w:rsidRPr="00000000" w14:paraId="00000049">
      <w:pPr>
        <w:ind w:left="20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A">
      <w:pPr>
        <w:ind w:left="207" w:firstLine="0"/>
        <w:rPr>
          <w:rFonts w:ascii="Gill Sans" w:cs="Gill Sans" w:eastAsia="Gill Sans" w:hAnsi="Gill Sans"/>
          <w:b w:val="1"/>
          <w:sz w:val="22"/>
          <w:szCs w:val="22"/>
        </w:rPr>
      </w:pPr>
      <w:r w:rsidDel="00000000" w:rsidR="00000000" w:rsidRPr="00000000">
        <w:rPr>
          <w:rtl w:val="0"/>
        </w:rPr>
      </w:r>
    </w:p>
    <w:tbl>
      <w:tblPr>
        <w:tblStyle w:val="Table2"/>
        <w:tblW w:w="8000.0" w:type="dxa"/>
        <w:jc w:val="left"/>
        <w:tblInd w:w="495.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730"/>
        <w:gridCol w:w="1995"/>
        <w:gridCol w:w="3275"/>
        <w:tblGridChange w:id="0">
          <w:tblGrid>
            <w:gridCol w:w="2730"/>
            <w:gridCol w:w="1995"/>
            <w:gridCol w:w="3275"/>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4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Rubro de 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4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4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Descripción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Continua</w:t>
            </w:r>
          </w:p>
          <w:p w:rsidR="00000000" w:rsidDel="00000000" w:rsidP="00000000" w:rsidRDefault="00000000" w:rsidRPr="00000000" w14:paraId="0000004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(EC)</w:t>
            </w:r>
          </w:p>
        </w:tc>
        <w:tc>
          <w:tcPr>
            <w:shd w:fill="ffffff" w:val="clear"/>
            <w:tcMar>
              <w:top w:w="11.0" w:type="dxa"/>
              <w:left w:w="11.0" w:type="dxa"/>
              <w:bottom w:w="0.0" w:type="dxa"/>
              <w:right w:w="11.0" w:type="dxa"/>
            </w:tcMar>
            <w:vAlign w:val="center"/>
          </w:tcPr>
          <w:p w:rsidR="00000000" w:rsidDel="00000000" w:rsidP="00000000" w:rsidRDefault="00000000" w:rsidRPr="00000000" w14:paraId="0000005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15 %</w:t>
            </w:r>
          </w:p>
        </w:tc>
        <w:tc>
          <w:tcPr>
            <w:shd w:fill="ffffff" w:val="clear"/>
            <w:tcMar>
              <w:top w:w="11.0" w:type="dxa"/>
              <w:left w:w="11.0" w:type="dxa"/>
              <w:bottom w:w="0.0" w:type="dxa"/>
              <w:right w:w="11.0" w:type="dxa"/>
            </w:tcMar>
            <w:vAlign w:val="center"/>
          </w:tcPr>
          <w:p w:rsidR="00000000" w:rsidDel="00000000" w:rsidP="00000000" w:rsidRDefault="00000000" w:rsidRPr="00000000" w14:paraId="00000051">
            <w:pPr>
              <w:widowControl w:val="0"/>
              <w:numPr>
                <w:ilvl w:val="0"/>
                <w:numId w:val="2"/>
              </w:numPr>
              <w:pBdr>
                <w:top w:space="0" w:sz="0" w:val="nil"/>
                <w:left w:space="0" w:sz="0" w:val="nil"/>
                <w:bottom w:space="0" w:sz="0" w:val="nil"/>
                <w:right w:space="0" w:sz="0" w:val="nil"/>
                <w:between w:space="0" w:sz="0" w:val="nil"/>
              </w:pBdr>
              <w:spacing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Asistencia a clases</w:t>
            </w:r>
            <w:r w:rsidDel="00000000" w:rsidR="00000000" w:rsidRPr="00000000">
              <w:rPr>
                <w:rtl w:val="0"/>
              </w:rPr>
            </w:r>
          </w:p>
          <w:p w:rsidR="00000000" w:rsidDel="00000000" w:rsidP="00000000" w:rsidRDefault="00000000" w:rsidRPr="00000000" w14:paraId="00000052">
            <w:pPr>
              <w:widowControl w:val="0"/>
              <w:numPr>
                <w:ilvl w:val="0"/>
                <w:numId w:val="2"/>
              </w:numPr>
              <w:pBdr>
                <w:top w:space="0" w:sz="0" w:val="nil"/>
                <w:left w:space="0" w:sz="0" w:val="nil"/>
                <w:bottom w:space="0" w:sz="0" w:val="nil"/>
                <w:right w:space="0" w:sz="0" w:val="nil"/>
                <w:between w:space="0" w:sz="0" w:val="nil"/>
              </w:pBdr>
              <w:spacing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Participación en clase, discusiones teóricas y críticas</w:t>
            </w:r>
            <w:r w:rsidDel="00000000" w:rsidR="00000000" w:rsidRPr="00000000">
              <w:rPr>
                <w:rtl w:val="0"/>
              </w:rPr>
            </w:r>
          </w:p>
        </w:tc>
      </w:tr>
      <w:tr>
        <w:trPr>
          <w:cantSplit w:val="0"/>
          <w:trHeight w:val="1170"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Inicial</w:t>
            </w:r>
          </w:p>
          <w:p w:rsidR="00000000" w:rsidDel="00000000" w:rsidP="00000000" w:rsidRDefault="00000000" w:rsidRPr="00000000" w14:paraId="0000005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(EI)</w:t>
            </w:r>
          </w:p>
        </w:tc>
        <w:tc>
          <w:tcPr>
            <w:shd w:fill="ffffff" w:val="clear"/>
            <w:tcMar>
              <w:top w:w="11.0" w:type="dxa"/>
              <w:left w:w="11.0" w:type="dxa"/>
              <w:bottom w:w="0.0" w:type="dxa"/>
              <w:right w:w="11.0" w:type="dxa"/>
            </w:tcMar>
            <w:vAlign w:val="center"/>
          </w:tcPr>
          <w:p w:rsidR="00000000" w:rsidDel="00000000" w:rsidP="00000000" w:rsidRDefault="00000000" w:rsidRPr="00000000" w14:paraId="0000005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10 %</w:t>
            </w:r>
          </w:p>
        </w:tc>
        <w:tc>
          <w:tcPr>
            <w:shd w:fill="ffffff" w:val="clear"/>
            <w:tcMar>
              <w:top w:w="11.0" w:type="dxa"/>
              <w:left w:w="11.0" w:type="dxa"/>
              <w:bottom w:w="0.0" w:type="dxa"/>
              <w:right w:w="11.0" w:type="dxa"/>
            </w:tcMar>
            <w:vAlign w:val="cente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ind w:left="45" w:right="89"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Presentación de trabajo de investigación y/o diagnóstico:</w:t>
            </w:r>
          </w:p>
          <w:p w:rsidR="00000000" w:rsidDel="00000000" w:rsidP="00000000" w:rsidRDefault="00000000" w:rsidRPr="00000000" w14:paraId="00000057">
            <w:pPr>
              <w:widowControl w:val="0"/>
              <w:numPr>
                <w:ilvl w:val="0"/>
                <w:numId w:val="2"/>
              </w:numPr>
              <w:pBdr>
                <w:top w:space="0" w:sz="0" w:val="nil"/>
                <w:left w:space="0" w:sz="0" w:val="nil"/>
                <w:bottom w:space="0" w:sz="0" w:val="nil"/>
                <w:right w:space="0" w:sz="0" w:val="nil"/>
                <w:between w:space="0" w:sz="0" w:val="nil"/>
              </w:pBdr>
              <w:spacing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Sustentación oral</w:t>
            </w:r>
            <w:r w:rsidDel="00000000" w:rsidR="00000000" w:rsidRPr="00000000">
              <w:rPr>
                <w:rtl w:val="0"/>
              </w:rPr>
            </w:r>
          </w:p>
          <w:p w:rsidR="00000000" w:rsidDel="00000000" w:rsidP="00000000" w:rsidRDefault="00000000" w:rsidRPr="00000000" w14:paraId="00000058">
            <w:pPr>
              <w:widowControl w:val="0"/>
              <w:numPr>
                <w:ilvl w:val="0"/>
                <w:numId w:val="2"/>
              </w:numPr>
              <w:pBdr>
                <w:top w:space="0" w:sz="0" w:val="nil"/>
                <w:left w:space="0" w:sz="0" w:val="nil"/>
                <w:bottom w:space="0" w:sz="0" w:val="nil"/>
                <w:right w:space="0" w:sz="0" w:val="nil"/>
                <w:between w:space="0" w:sz="0" w:val="nil"/>
              </w:pBdr>
              <w:spacing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Presentación de expediente de planos y mapas</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Parcial</w:t>
            </w:r>
          </w:p>
          <w:p w:rsidR="00000000" w:rsidDel="00000000" w:rsidP="00000000" w:rsidRDefault="00000000" w:rsidRPr="00000000" w14:paraId="0000005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(EP)</w:t>
            </w:r>
          </w:p>
        </w:tc>
        <w:tc>
          <w:tcPr>
            <w:shd w:fill="ffffff" w:val="clear"/>
            <w:tcMar>
              <w:top w:w="11.0" w:type="dxa"/>
              <w:left w:w="11.0" w:type="dxa"/>
              <w:bottom w:w="0.0" w:type="dxa"/>
              <w:right w:w="11.0" w:type="dxa"/>
            </w:tcMar>
            <w:vAlign w:val="center"/>
          </w:tcPr>
          <w:p w:rsidR="00000000" w:rsidDel="00000000" w:rsidP="00000000" w:rsidRDefault="00000000" w:rsidRPr="00000000" w14:paraId="0000005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30 %</w:t>
            </w:r>
          </w:p>
        </w:tc>
        <w:tc>
          <w:tcPr>
            <w:shd w:fill="ffffff" w:val="clear"/>
            <w:tcMar>
              <w:top w:w="11.0" w:type="dxa"/>
              <w:left w:w="11.0" w:type="dxa"/>
              <w:bottom w:w="0.0" w:type="dxa"/>
              <w:right w:w="11.0" w:type="dxa"/>
            </w:tcMar>
            <w:vAlign w:val="cente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ind w:left="45" w:right="89"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Presentación parcial del proyecto:</w:t>
            </w:r>
          </w:p>
          <w:p w:rsidR="00000000" w:rsidDel="00000000" w:rsidP="00000000" w:rsidRDefault="00000000" w:rsidRPr="00000000" w14:paraId="0000005D">
            <w:pPr>
              <w:widowControl w:val="0"/>
              <w:numPr>
                <w:ilvl w:val="0"/>
                <w:numId w:val="2"/>
              </w:numPr>
              <w:pBdr>
                <w:top w:space="0" w:sz="0" w:val="nil"/>
                <w:left w:space="0" w:sz="0" w:val="nil"/>
                <w:bottom w:space="0" w:sz="0" w:val="nil"/>
                <w:right w:space="0" w:sz="0" w:val="nil"/>
                <w:between w:space="0" w:sz="0" w:val="nil"/>
              </w:pBdr>
              <w:spacing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Sustentación oral</w:t>
            </w:r>
            <w:r w:rsidDel="00000000" w:rsidR="00000000" w:rsidRPr="00000000">
              <w:rPr>
                <w:rtl w:val="0"/>
              </w:rPr>
            </w:r>
          </w:p>
          <w:p w:rsidR="00000000" w:rsidDel="00000000" w:rsidP="00000000" w:rsidRDefault="00000000" w:rsidRPr="00000000" w14:paraId="0000005E">
            <w:pPr>
              <w:widowControl w:val="0"/>
              <w:numPr>
                <w:ilvl w:val="0"/>
                <w:numId w:val="2"/>
              </w:numPr>
              <w:pBdr>
                <w:top w:space="0" w:sz="0" w:val="nil"/>
                <w:left w:space="0" w:sz="0" w:val="nil"/>
                <w:bottom w:space="0" w:sz="0" w:val="nil"/>
                <w:right w:space="0" w:sz="0" w:val="nil"/>
                <w:between w:space="0" w:sz="0" w:val="nil"/>
              </w:pBdr>
              <w:spacing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Presentación de expediente de planos y mapas</w:t>
            </w:r>
            <w:r w:rsidDel="00000000" w:rsidR="00000000" w:rsidRPr="00000000">
              <w:rPr>
                <w:rtl w:val="0"/>
              </w:rPr>
            </w:r>
          </w:p>
          <w:p w:rsidR="00000000" w:rsidDel="00000000" w:rsidP="00000000" w:rsidRDefault="00000000" w:rsidRPr="00000000" w14:paraId="0000005F">
            <w:pPr>
              <w:widowControl w:val="0"/>
              <w:numPr>
                <w:ilvl w:val="0"/>
                <w:numId w:val="2"/>
              </w:numPr>
              <w:pBdr>
                <w:top w:space="0" w:sz="0" w:val="nil"/>
                <w:left w:space="0" w:sz="0" w:val="nil"/>
                <w:bottom w:space="0" w:sz="0" w:val="nil"/>
                <w:right w:space="0" w:sz="0" w:val="nil"/>
                <w:between w:space="0" w:sz="0" w:val="nil"/>
              </w:pBdr>
              <w:spacing w:after="200"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Presentación de maqueta</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6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Final</w:t>
            </w:r>
          </w:p>
          <w:p w:rsidR="00000000" w:rsidDel="00000000" w:rsidP="00000000" w:rsidRDefault="00000000" w:rsidRPr="00000000" w14:paraId="00000061">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(EF)</w:t>
            </w:r>
          </w:p>
        </w:tc>
        <w:tc>
          <w:tcPr>
            <w:shd w:fill="ffffff" w:val="clear"/>
            <w:tcMar>
              <w:top w:w="11.0" w:type="dxa"/>
              <w:left w:w="11.0" w:type="dxa"/>
              <w:bottom w:w="0.0" w:type="dxa"/>
              <w:right w:w="11.0" w:type="dxa"/>
            </w:tcMar>
            <w:vAlign w:val="center"/>
          </w:tcPr>
          <w:p w:rsidR="00000000" w:rsidDel="00000000" w:rsidP="00000000" w:rsidRDefault="00000000" w:rsidRPr="00000000" w14:paraId="0000006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45 %</w:t>
            </w:r>
          </w:p>
        </w:tc>
        <w:tc>
          <w:tcPr>
            <w:shd w:fill="ffffff" w:val="clear"/>
            <w:tcMar>
              <w:top w:w="11.0" w:type="dxa"/>
              <w:left w:w="11.0" w:type="dxa"/>
              <w:bottom w:w="0.0" w:type="dxa"/>
              <w:right w:w="11.0" w:type="dxa"/>
            </w:tcMar>
            <w:vAlign w:val="cente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ind w:left="45" w:right="89"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Presentación final del proyecto:</w:t>
            </w:r>
          </w:p>
          <w:p w:rsidR="00000000" w:rsidDel="00000000" w:rsidP="00000000" w:rsidRDefault="00000000" w:rsidRPr="00000000" w14:paraId="00000064">
            <w:pPr>
              <w:widowControl w:val="0"/>
              <w:numPr>
                <w:ilvl w:val="0"/>
                <w:numId w:val="2"/>
              </w:numPr>
              <w:pBdr>
                <w:top w:space="0" w:sz="0" w:val="nil"/>
                <w:left w:space="0" w:sz="0" w:val="nil"/>
                <w:bottom w:space="0" w:sz="0" w:val="nil"/>
                <w:right w:space="0" w:sz="0" w:val="nil"/>
                <w:between w:space="0" w:sz="0" w:val="nil"/>
              </w:pBdr>
              <w:spacing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Sustentación oral</w:t>
            </w:r>
            <w:r w:rsidDel="00000000" w:rsidR="00000000" w:rsidRPr="00000000">
              <w:rPr>
                <w:rtl w:val="0"/>
              </w:rPr>
            </w:r>
          </w:p>
          <w:p w:rsidR="00000000" w:rsidDel="00000000" w:rsidP="00000000" w:rsidRDefault="00000000" w:rsidRPr="00000000" w14:paraId="00000065">
            <w:pPr>
              <w:widowControl w:val="0"/>
              <w:numPr>
                <w:ilvl w:val="0"/>
                <w:numId w:val="2"/>
              </w:numPr>
              <w:pBdr>
                <w:top w:space="0" w:sz="0" w:val="nil"/>
                <w:left w:space="0" w:sz="0" w:val="nil"/>
                <w:bottom w:space="0" w:sz="0" w:val="nil"/>
                <w:right w:space="0" w:sz="0" w:val="nil"/>
                <w:between w:space="0" w:sz="0" w:val="nil"/>
              </w:pBdr>
              <w:spacing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Presentación de expediente de planos y mapas</w:t>
            </w:r>
            <w:r w:rsidDel="00000000" w:rsidR="00000000" w:rsidRPr="00000000">
              <w:rPr>
                <w:rtl w:val="0"/>
              </w:rPr>
            </w:r>
          </w:p>
          <w:p w:rsidR="00000000" w:rsidDel="00000000" w:rsidP="00000000" w:rsidRDefault="00000000" w:rsidRPr="00000000" w14:paraId="00000066">
            <w:pPr>
              <w:widowControl w:val="0"/>
              <w:numPr>
                <w:ilvl w:val="0"/>
                <w:numId w:val="2"/>
              </w:numPr>
              <w:pBdr>
                <w:top w:space="0" w:sz="0" w:val="nil"/>
                <w:left w:space="0" w:sz="0" w:val="nil"/>
                <w:bottom w:space="0" w:sz="0" w:val="nil"/>
                <w:right w:space="0" w:sz="0" w:val="nil"/>
                <w:between w:space="0" w:sz="0" w:val="nil"/>
              </w:pBdr>
              <w:spacing w:after="200" w:line="276" w:lineRule="auto"/>
              <w:ind w:left="405" w:right="89" w:hanging="360"/>
              <w:jc w:val="both"/>
              <w:rPr>
                <w:color w:val="000000"/>
                <w:sz w:val="20"/>
                <w:szCs w:val="20"/>
              </w:rPr>
            </w:pPr>
            <w:r w:rsidDel="00000000" w:rsidR="00000000" w:rsidRPr="00000000">
              <w:rPr>
                <w:rFonts w:ascii="Gill Sans" w:cs="Gill Sans" w:eastAsia="Gill Sans" w:hAnsi="Gill Sans"/>
                <w:color w:val="000000"/>
                <w:sz w:val="20"/>
                <w:szCs w:val="20"/>
                <w:rtl w:val="0"/>
              </w:rPr>
              <w:t xml:space="preserve">Presentación de maqueta</w:t>
            </w:r>
            <w:r w:rsidDel="00000000" w:rsidR="00000000" w:rsidRPr="00000000">
              <w:rPr>
                <w:rtl w:val="0"/>
              </w:rPr>
            </w:r>
          </w:p>
        </w:tc>
      </w:tr>
    </w:tbl>
    <w:p w:rsidR="00000000" w:rsidDel="00000000" w:rsidP="00000000" w:rsidRDefault="00000000" w:rsidRPr="00000000" w14:paraId="00000067">
      <w:pPr>
        <w:ind w:left="20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68">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69">
      <w:pPr>
        <w:numPr>
          <w:ilvl w:val="1"/>
          <w:numId w:val="4"/>
        </w:numPr>
        <w:ind w:left="284" w:hanging="284"/>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Fórmula de evaluación</w:t>
      </w:r>
    </w:p>
    <w:p w:rsidR="00000000" w:rsidDel="00000000" w:rsidP="00000000" w:rsidRDefault="00000000" w:rsidRPr="00000000" w14:paraId="0000006A">
      <w:pP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firstLine="567"/>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EC(15) +EI(10) + EP(30) + EF(45) / 100</w:t>
      </w:r>
    </w:p>
    <w:p w:rsidR="00000000" w:rsidDel="00000000" w:rsidP="00000000" w:rsidRDefault="00000000" w:rsidRPr="00000000" w14:paraId="0000006C">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6D">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6E">
      <w:pPr>
        <w:numPr>
          <w:ilvl w:val="0"/>
          <w:numId w:val="4"/>
        </w:numPr>
        <w:ind w:left="142" w:hanging="360"/>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CRONOGRAMA</w:t>
      </w:r>
      <w:r w:rsidDel="00000000" w:rsidR="00000000" w:rsidRPr="00000000">
        <w:rPr>
          <w:rtl w:val="0"/>
        </w:rPr>
      </w:r>
    </w:p>
    <w:p w:rsidR="00000000" w:rsidDel="00000000" w:rsidP="00000000" w:rsidRDefault="00000000" w:rsidRPr="00000000" w14:paraId="0000006F">
      <w:pPr>
        <w:rPr>
          <w:rFonts w:ascii="Gill Sans" w:cs="Gill Sans" w:eastAsia="Gill Sans" w:hAnsi="Gill Sans"/>
          <w:b w:val="1"/>
          <w:color w:val="0000ff"/>
          <w:sz w:val="22"/>
          <w:szCs w:val="22"/>
        </w:rPr>
      </w:pPr>
      <w:r w:rsidDel="00000000" w:rsidR="00000000" w:rsidRPr="00000000">
        <w:rPr>
          <w:rtl w:val="0"/>
        </w:rPr>
      </w:r>
    </w:p>
    <w:tbl>
      <w:tblPr>
        <w:tblStyle w:val="Table3"/>
        <w:tblW w:w="7938.0" w:type="dxa"/>
        <w:jc w:val="left"/>
        <w:tblInd w:w="27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6"/>
        <w:gridCol w:w="4819"/>
        <w:gridCol w:w="1843"/>
        <w:tblGridChange w:id="0">
          <w:tblGrid>
            <w:gridCol w:w="1276"/>
            <w:gridCol w:w="4819"/>
            <w:gridCol w:w="1843"/>
          </w:tblGrid>
        </w:tblGridChange>
      </w:tblGrid>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Contenido temático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Actividades de evaluación</w:t>
            </w:r>
          </w:p>
        </w:tc>
      </w:tr>
      <w:tr>
        <w:trPr>
          <w:cantSplit w:val="0"/>
          <w:trHeight w:val="251"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Unidad 1: Problema, análisis y diagnóstico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Presentación del curso. </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Introducción al tema del taller y caso de estudio.</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Inicio de primer trabajo: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Diagnóstico Urbano.</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Sistema de Información Geográfica SIG - Introducción</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Herramientas de análisis y diagnóstico.</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Introducción al marco conceptual teórico-práctico.</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Diagnóstico Urbano.</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Sistema de Información Geográfica SIG - Ejercicios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3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Diagnóstico Urbano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3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Entrega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Diagnóstico Urbano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Inicial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(EI)</w:t>
            </w:r>
          </w:p>
        </w:tc>
      </w:tr>
      <w:tr>
        <w:trPr>
          <w:cantSplit w:val="0"/>
          <w:trHeight w:val="185"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89">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Unidad 2: Planificación y estrategias de intervención</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Inicio de segundo trabajo: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Plan Maestro</w:t>
            </w: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Funciones</w:t>
            </w: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 urbanas y usos del suelo.</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Régimen del suelo y sistemas urbanísticos.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Estrategias para el problema de la vivienda</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Plan Maestro.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Morfología y tipos edificatorios.</w:t>
            </w:r>
          </w:p>
          <w:p w:rsidR="00000000" w:rsidDel="00000000" w:rsidP="00000000" w:rsidRDefault="00000000" w:rsidRPr="00000000" w14:paraId="000000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Indicadores, coeficientes y parámetros.</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Plan Maestro</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Sistema de Información Geográfica SIG - Indicadores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Plan Maestro</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Sistema de Información Geográfica SIG - Indicadores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SEMANA DE EXÁMENES PARCIALES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Gill Sans" w:cs="Gill Sans" w:eastAsia="Gill Sans" w:hAnsi="Gill Sans"/>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Entrega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Plan Maestro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Parcial (EP)</w:t>
            </w:r>
          </w:p>
        </w:tc>
      </w:tr>
      <w:tr>
        <w:trPr>
          <w:cantSplit w:val="0"/>
          <w:trHeight w:val="23"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A3">
            <w:pPr>
              <w:widowControl w:val="0"/>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Unidad 3: Diseño Urbano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Inicio de tercer trabajo: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Proyecto urbano</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1"/>
                <w:i w:val="1"/>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1"/>
                <w:smallCaps w:val="0"/>
                <w:strike w:val="0"/>
                <w:color w:val="000000"/>
                <w:sz w:val="20"/>
                <w:szCs w:val="20"/>
                <w:highlight w:val="white"/>
                <w:u w:val="none"/>
                <w:vertAlign w:val="baseline"/>
                <w:rtl w:val="0"/>
              </w:rPr>
              <w:t xml:space="preserve">Salida de campo (Opcional)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Herramientas y guías de diseño: Movilidad, espacio público.</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Proyecto Urbano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Herramientas y guías de diseño: Ecología y biodiversidad urbana.</w:t>
            </w:r>
          </w:p>
          <w:p w:rsidR="00000000" w:rsidDel="00000000" w:rsidP="00000000" w:rsidRDefault="00000000" w:rsidRPr="00000000" w14:paraId="000000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Proyecto Urbano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Proyecto Urbano</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Sistema de Información Geográfica SIG - Indicadores</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Proyecto Urbano</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Sistema de Información Geográfica SIG - Indicadores</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9" w:right="0" w:hanging="144"/>
              <w:jc w:val="left"/>
              <w:rPr>
                <w:b w:val="0"/>
                <w:i w:val="0"/>
                <w:smallCaps w:val="0"/>
                <w:strike w:val="0"/>
                <w:color w:val="000000"/>
                <w:sz w:val="20"/>
                <w:szCs w:val="20"/>
                <w:highlight w:val="white"/>
                <w:u w:val="none"/>
                <w:vertAlign w:val="baseline"/>
              </w:rPr>
            </w:pPr>
            <w:r w:rsidDel="00000000" w:rsidR="00000000" w:rsidRPr="00000000">
              <w:rPr>
                <w:rFonts w:ascii="Gill Sans" w:cs="Gill Sans" w:eastAsia="Gill Sans" w:hAnsi="Gill Sans"/>
                <w:b w:val="0"/>
                <w:i w:val="0"/>
                <w:smallCaps w:val="0"/>
                <w:strike w:val="0"/>
                <w:color w:val="000000"/>
                <w:sz w:val="20"/>
                <w:szCs w:val="20"/>
                <w:highlight w:val="white"/>
                <w:u w:val="none"/>
                <w:vertAlign w:val="baseline"/>
                <w:rtl w:val="0"/>
              </w:rPr>
              <w:t xml:space="preserve">Crítica de avances de </w:t>
            </w:r>
            <w:r w:rsidDel="00000000" w:rsidR="00000000" w:rsidRPr="00000000">
              <w:rPr>
                <w:rFonts w:ascii="Gill Sans" w:cs="Gill Sans" w:eastAsia="Gill Sans" w:hAnsi="Gill Sans"/>
                <w:b w:val="0"/>
                <w:i w:val="0"/>
                <w:smallCaps w:val="0"/>
                <w:strike w:val="0"/>
                <w:color w:val="000000"/>
                <w:sz w:val="20"/>
                <w:szCs w:val="20"/>
                <w:highlight w:val="white"/>
                <w:u w:val="single"/>
                <w:vertAlign w:val="baseline"/>
                <w:rtl w:val="0"/>
              </w:rPr>
              <w:t xml:space="preserve">Proyecto Urbano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SEMANA DE EXÁMENES FINALES</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0"/>
                <w:szCs w:val="20"/>
                <w:highlight w:val="white"/>
                <w:rtl w:val="0"/>
              </w:rPr>
              <w:t xml:space="preserve">Entrega de Proyecto Urbano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Final</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sz w:val="20"/>
                <w:szCs w:val="20"/>
                <w:rtl w:val="0"/>
              </w:rPr>
              <w:t xml:space="preserve">(EF)</w:t>
            </w:r>
            <w:r w:rsidDel="00000000" w:rsidR="00000000" w:rsidRPr="00000000">
              <w:rPr>
                <w:rtl w:val="0"/>
              </w:rPr>
            </w:r>
          </w:p>
        </w:tc>
      </w:tr>
    </w:tbl>
    <w:p w:rsidR="00000000" w:rsidDel="00000000" w:rsidP="00000000" w:rsidRDefault="00000000" w:rsidRPr="00000000" w14:paraId="000000C2">
      <w:pPr>
        <w:rPr>
          <w:rFonts w:ascii="Gill Sans" w:cs="Gill Sans" w:eastAsia="Gill Sans" w:hAnsi="Gill Sans"/>
        </w:rPr>
      </w:pPr>
      <w:r w:rsidDel="00000000" w:rsidR="00000000" w:rsidRPr="00000000">
        <w:rPr>
          <w:rtl w:val="0"/>
        </w:rPr>
      </w:r>
    </w:p>
    <w:p w:rsidR="00000000" w:rsidDel="00000000" w:rsidP="00000000" w:rsidRDefault="00000000" w:rsidRPr="00000000" w14:paraId="000000C3">
      <w:pPr>
        <w:rPr>
          <w:rFonts w:ascii="Gill Sans" w:cs="Gill Sans" w:eastAsia="Gill Sans" w:hAnsi="Gill Sans"/>
        </w:rPr>
      </w:pPr>
      <w:r w:rsidDel="00000000" w:rsidR="00000000" w:rsidRPr="00000000">
        <w:rPr>
          <w:rtl w:val="0"/>
        </w:rPr>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SUMILLA</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142"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C6">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Proporciona al alumno el necesario conocimiento y ejercicio de las técnicas e instrumentos básicos que se utilizan en el proyecto urbano aplicados a intervenciones de mediana y gran escala. El proyecto urbano parte de un diagnóstico sobre las dinámicas de la ciudad, los requerimientos sociales y las condicionantes ambientales del medio urbano. Por ello, en el planteamiento del proyecto, se consideran los aspectos históricos, estéticos, económicos, sociales y fenomenológicos, incluyendo las técnicas de ordenación urbana para la convivencia en la ciudad contemporánea y hacia un futuro sostenible. Asimismo, se discute el impacto socio-espacial del proyecto urbano desde el levantamiento y procesamiento de información, el registro de dinámicas sociales y la identificación de agentes al elaborar el diagnóstico urbano hasta el posterior armado de la propuesta de diseño urbanístico. Esta propuesta se evaluará de acuerdo a cómo se consideran las condiciones de habitabilidad y la reducción de desigualdades urbanas. El curso aporta a las competencias de egreso: interpretación crítica de la realidad, diseño y representación de proyectos, proyección de nuevos o futuros contextos integrando conocimientos urbanos, territoriales y paisajísticos y actuar con responsabilidad social con los entornos humanos y territoriales sobre los cuales se proponen diseños urbanos.</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C8">
      <w:pPr>
        <w:numPr>
          <w:ilvl w:val="0"/>
          <w:numId w:val="4"/>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COMPETENCIAS ASOCIADAS AL CURSO</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142"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CA">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C1: Interpretación crítica de realidad: Interpreta y representa de manera crítica la realidad desde la perspectiva disciplinar de la arquitectura y el urbanismo para poder intervenirla.</w:t>
      </w:r>
    </w:p>
    <w:p w:rsidR="00000000" w:rsidDel="00000000" w:rsidP="00000000" w:rsidRDefault="00000000" w:rsidRPr="00000000" w14:paraId="000000CB">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CC">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C3: Proyección de nuevos o futuros contextos:  Proyecta nuevos o futuros contextos integrando conocimientos urbanos, territoriales y paisajísticos basados en una reflexión crítica de la realidad. Estos conocimientos se nutren de una perspectiva interdisciplinar en base a la cual se forja una visión de ciudad colectiva.</w:t>
      </w:r>
    </w:p>
    <w:p w:rsidR="00000000" w:rsidDel="00000000" w:rsidP="00000000" w:rsidRDefault="00000000" w:rsidRPr="00000000" w14:paraId="000000CD">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CE">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C4: Integración de la técnica en la práctica arquitectónica: Integra en su práctica conocimientos técnicos, las propiedades físicas, mecánicas, numéricas, estructurales y medioambientales de la materia. Para ello, utiliza la experimentación material y un enfoque científico-técnico para entender de forma multidisciplinar el impacto de la fabricación del entorno construido en el Perú y en el mundo.</w:t>
      </w:r>
    </w:p>
    <w:p w:rsidR="00000000" w:rsidDel="00000000" w:rsidP="00000000" w:rsidRDefault="00000000" w:rsidRPr="00000000" w14:paraId="000000CF">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0">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C5: Manejo conocimientos históricos, culturales y arquitectónicos: Maneja conocimientos históricos, culturales y arquitectónicos que le permitan situarse en el mundo contemporáneo y del devenir de la profesión.</w:t>
      </w:r>
    </w:p>
    <w:p w:rsidR="00000000" w:rsidDel="00000000" w:rsidP="00000000" w:rsidRDefault="00000000" w:rsidRPr="00000000" w14:paraId="000000D1">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2">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C6: Aplicación principios y herramientas de gestión: </w:t>
      </w:r>
    </w:p>
    <w:p w:rsidR="00000000" w:rsidDel="00000000" w:rsidP="00000000" w:rsidRDefault="00000000" w:rsidRPr="00000000" w14:paraId="000000D3">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Aplica principios y herramientas de gestión aplicadas a la naturaleza, procedimientos y etapas de los proyectos arquitectónicos y urbanos para que se puedan materializar con niveles de calidad adecuados y sostenibles a nivel ambiental y social.</w:t>
      </w:r>
    </w:p>
    <w:p w:rsidR="00000000" w:rsidDel="00000000" w:rsidP="00000000" w:rsidRDefault="00000000" w:rsidRPr="00000000" w14:paraId="000000D4">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5">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C7: Investigación en el campo de la arquitectura y urbanismo </w:t>
      </w:r>
    </w:p>
    <w:p w:rsidR="00000000" w:rsidDel="00000000" w:rsidP="00000000" w:rsidRDefault="00000000" w:rsidRPr="00000000" w14:paraId="000000D6">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Realiza investigaciones del campo de la arquitectura y el urbanismo de manera rigurosa y crítica para resolver las demandas del hábitat humano, en diferentes escalas y complejidades y de generar nuevos conocimientos que aporten al desarrollo de la disciplina.</w:t>
      </w:r>
    </w:p>
    <w:p w:rsidR="00000000" w:rsidDel="00000000" w:rsidP="00000000" w:rsidRDefault="00000000" w:rsidRPr="00000000" w14:paraId="000000D7">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8">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C8: Compromiso ético: </w:t>
      </w:r>
    </w:p>
    <w:p w:rsidR="00000000" w:rsidDel="00000000" w:rsidP="00000000" w:rsidRDefault="00000000" w:rsidRPr="00000000" w14:paraId="000000D9">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Demuestra un compromiso ético frente a la disciplina y en todos los ámbitos del ejercicio de la profesión del arquitecto.</w:t>
      </w:r>
    </w:p>
    <w:p w:rsidR="00000000" w:rsidDel="00000000" w:rsidP="00000000" w:rsidRDefault="00000000" w:rsidRPr="00000000" w14:paraId="000000DA">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C9: Responsabilidad social:</w:t>
      </w:r>
    </w:p>
    <w:p w:rsidR="00000000" w:rsidDel="00000000" w:rsidP="00000000" w:rsidRDefault="00000000" w:rsidRPr="00000000" w14:paraId="000000DC">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Actúa con responsabilidad social con los entornos humanos y territoriales sobre los cuales se proponen diseños urbanos comunicando los resultados tanto a funcionarios públicos, instituciones privadas como a colectividades sociales.</w:t>
      </w:r>
    </w:p>
    <w:p w:rsidR="00000000" w:rsidDel="00000000" w:rsidP="00000000" w:rsidRDefault="00000000" w:rsidRPr="00000000" w14:paraId="000000DD">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E">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RESULTADOS DE APRENDIZAJE</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142"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E1">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ANALIZA un problema urbano complejo identificando los distintos componentes que lo conforman, interpretando información disponible y produciendo información espacial nueva de acuerdo a los objetivos del análisis.</w:t>
      </w:r>
    </w:p>
    <w:p w:rsidR="00000000" w:rsidDel="00000000" w:rsidP="00000000" w:rsidRDefault="00000000" w:rsidRPr="00000000" w14:paraId="000000E2">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E3">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IDENTIFICA la metodología del proceso de diseño del proyecto urbano, organizando las etapas del diseño y articulando las distintas escalas del proyecto.</w:t>
      </w:r>
    </w:p>
    <w:p w:rsidR="00000000" w:rsidDel="00000000" w:rsidP="00000000" w:rsidRDefault="00000000" w:rsidRPr="00000000" w14:paraId="000000E4">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E5">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DISEÑA un proyecto urbano, integrando los conceptos teórico-prácticos, considerando el análisis realizado, discutiendo colectivamente y reconociendo a los actores alrededor del problema.</w:t>
      </w:r>
    </w:p>
    <w:p w:rsidR="00000000" w:rsidDel="00000000" w:rsidP="00000000" w:rsidRDefault="00000000" w:rsidRPr="00000000" w14:paraId="000000E6">
      <w:pPr>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E7">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EXPLICA un marco conceptual teórico y práctico, identificando su aplicación en el problema urbano e implementándolo en el diseño del proyecto urbano.</w:t>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142"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E9">
      <w:pPr>
        <w:numPr>
          <w:ilvl w:val="0"/>
          <w:numId w:val="4"/>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CONTENIDOS</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tbl>
      <w:tblPr>
        <w:tblStyle w:val="Table4"/>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542"/>
        <w:gridCol w:w="5744"/>
        <w:tblGridChange w:id="0">
          <w:tblGrid>
            <w:gridCol w:w="2542"/>
            <w:gridCol w:w="5744"/>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E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0E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ED">
            <w:pPr>
              <w:ind w:left="12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 Problema urbano, análisis y diagnóstico</w:t>
            </w:r>
          </w:p>
        </w:tc>
        <w:tc>
          <w:tcPr>
            <w:shd w:fill="ffffff" w:val="clear"/>
            <w:tcMar>
              <w:top w:w="11.0" w:type="dxa"/>
              <w:left w:w="11.0" w:type="dxa"/>
              <w:bottom w:w="0.0" w:type="dxa"/>
              <w:right w:w="11.0" w:type="dxa"/>
            </w:tcMar>
          </w:tcPr>
          <w:p w:rsidR="00000000" w:rsidDel="00000000" w:rsidP="00000000" w:rsidRDefault="00000000" w:rsidRPr="00000000" w14:paraId="000000EE">
            <w:pPr>
              <w:tabs>
                <w:tab w:val="left" w:leader="none" w:pos="4176"/>
              </w:tabs>
              <w:ind w:left="13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 Marco conceptual teórico-práctico:</w:t>
            </w:r>
          </w:p>
          <w:p w:rsidR="00000000" w:rsidDel="00000000" w:rsidP="00000000" w:rsidRDefault="00000000" w:rsidRPr="00000000" w14:paraId="000000EF">
            <w:pPr>
              <w:numPr>
                <w:ilvl w:val="0"/>
                <w:numId w:val="3"/>
              </w:numPr>
              <w:pBdr>
                <w:top w:space="0" w:sz="0" w:val="nil"/>
                <w:left w:space="0" w:sz="0" w:val="nil"/>
                <w:bottom w:space="0" w:sz="0" w:val="nil"/>
                <w:right w:space="0" w:sz="0" w:val="nil"/>
                <w:between w:space="0" w:sz="0" w:val="nil"/>
              </w:pBdr>
              <w:tabs>
                <w:tab w:val="left" w:leader="none" w:pos="4176"/>
              </w:tabs>
              <w:spacing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Enfoques teóricos o conceptuales</w:t>
            </w:r>
            <w:r w:rsidDel="00000000" w:rsidR="00000000" w:rsidRPr="00000000">
              <w:rPr>
                <w:rtl w:val="0"/>
              </w:rPr>
            </w:r>
          </w:p>
          <w:p w:rsidR="00000000" w:rsidDel="00000000" w:rsidP="00000000" w:rsidRDefault="00000000" w:rsidRPr="00000000" w14:paraId="000000F0">
            <w:pPr>
              <w:numPr>
                <w:ilvl w:val="0"/>
                <w:numId w:val="3"/>
              </w:numPr>
              <w:pBdr>
                <w:top w:space="0" w:sz="0" w:val="nil"/>
                <w:left w:space="0" w:sz="0" w:val="nil"/>
                <w:bottom w:space="0" w:sz="0" w:val="nil"/>
                <w:right w:space="0" w:sz="0" w:val="nil"/>
                <w:between w:space="0" w:sz="0" w:val="nil"/>
              </w:pBdr>
              <w:tabs>
                <w:tab w:val="left" w:leader="none" w:pos="4176"/>
              </w:tabs>
              <w:spacing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Enfoques prácticos o aplicados</w:t>
            </w:r>
            <w:r w:rsidDel="00000000" w:rsidR="00000000" w:rsidRPr="00000000">
              <w:rPr>
                <w:rtl w:val="0"/>
              </w:rPr>
            </w:r>
          </w:p>
          <w:p w:rsidR="00000000" w:rsidDel="00000000" w:rsidP="00000000" w:rsidRDefault="00000000" w:rsidRPr="00000000" w14:paraId="000000F1">
            <w:pPr>
              <w:numPr>
                <w:ilvl w:val="0"/>
                <w:numId w:val="3"/>
              </w:numPr>
              <w:pBdr>
                <w:top w:space="0" w:sz="0" w:val="nil"/>
                <w:left w:space="0" w:sz="0" w:val="nil"/>
                <w:bottom w:space="0" w:sz="0" w:val="nil"/>
                <w:right w:space="0" w:sz="0" w:val="nil"/>
                <w:between w:space="0" w:sz="0" w:val="nil"/>
              </w:pBdr>
              <w:tabs>
                <w:tab w:val="left" w:leader="none" w:pos="4176"/>
              </w:tabs>
              <w:spacing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Herramientas de análisis espacial</w:t>
            </w:r>
            <w:r w:rsidDel="00000000" w:rsidR="00000000" w:rsidRPr="00000000">
              <w:rPr>
                <w:rtl w:val="0"/>
              </w:rPr>
            </w:r>
          </w:p>
          <w:p w:rsidR="00000000" w:rsidDel="00000000" w:rsidP="00000000" w:rsidRDefault="00000000" w:rsidRPr="00000000" w14:paraId="000000F2">
            <w:pPr>
              <w:numPr>
                <w:ilvl w:val="0"/>
                <w:numId w:val="3"/>
              </w:numPr>
              <w:pBdr>
                <w:top w:space="0" w:sz="0" w:val="nil"/>
                <w:left w:space="0" w:sz="0" w:val="nil"/>
                <w:bottom w:space="0" w:sz="0" w:val="nil"/>
                <w:right w:space="0" w:sz="0" w:val="nil"/>
                <w:between w:space="0" w:sz="0" w:val="nil"/>
              </w:pBdr>
              <w:tabs>
                <w:tab w:val="left" w:leader="none" w:pos="4176"/>
              </w:tabs>
              <w:spacing w:after="200"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Herramientas de representación de información espacial</w:t>
            </w:r>
            <w:r w:rsidDel="00000000" w:rsidR="00000000" w:rsidRPr="00000000">
              <w:rPr>
                <w:rtl w:val="0"/>
              </w:rPr>
            </w:r>
          </w:p>
          <w:p w:rsidR="00000000" w:rsidDel="00000000" w:rsidP="00000000" w:rsidRDefault="00000000" w:rsidRPr="00000000" w14:paraId="000000F3">
            <w:pPr>
              <w:tabs>
                <w:tab w:val="left" w:leader="none" w:pos="4176"/>
              </w:tabs>
              <w:ind w:left="13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 Caso de estudio:</w:t>
            </w:r>
          </w:p>
          <w:p w:rsidR="00000000" w:rsidDel="00000000" w:rsidP="00000000" w:rsidRDefault="00000000" w:rsidRPr="00000000" w14:paraId="000000F4">
            <w:pPr>
              <w:numPr>
                <w:ilvl w:val="0"/>
                <w:numId w:val="3"/>
              </w:numPr>
              <w:pBdr>
                <w:top w:space="0" w:sz="0" w:val="nil"/>
                <w:left w:space="0" w:sz="0" w:val="nil"/>
                <w:bottom w:space="0" w:sz="0" w:val="nil"/>
                <w:right w:space="0" w:sz="0" w:val="nil"/>
                <w:between w:space="0" w:sz="0" w:val="nil"/>
              </w:pBdr>
              <w:tabs>
                <w:tab w:val="left" w:leader="none" w:pos="4176"/>
              </w:tabs>
              <w:spacing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Identificación del problema urbano</w:t>
            </w:r>
            <w:r w:rsidDel="00000000" w:rsidR="00000000" w:rsidRPr="00000000">
              <w:rPr>
                <w:rtl w:val="0"/>
              </w:rPr>
            </w:r>
          </w:p>
          <w:p w:rsidR="00000000" w:rsidDel="00000000" w:rsidP="00000000" w:rsidRDefault="00000000" w:rsidRPr="00000000" w14:paraId="000000F5">
            <w:pPr>
              <w:numPr>
                <w:ilvl w:val="0"/>
                <w:numId w:val="3"/>
              </w:numPr>
              <w:pBdr>
                <w:top w:space="0" w:sz="0" w:val="nil"/>
                <w:left w:space="0" w:sz="0" w:val="nil"/>
                <w:bottom w:space="0" w:sz="0" w:val="nil"/>
                <w:right w:space="0" w:sz="0" w:val="nil"/>
                <w:between w:space="0" w:sz="0" w:val="nil"/>
              </w:pBdr>
              <w:tabs>
                <w:tab w:val="left" w:leader="none" w:pos="4176"/>
              </w:tabs>
              <w:spacing w:after="200"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Análisis del caso de estudio</w:t>
            </w:r>
            <w:r w:rsidDel="00000000" w:rsidR="00000000" w:rsidRPr="00000000">
              <w:rPr>
                <w:rtl w:val="0"/>
              </w:rPr>
            </w:r>
          </w:p>
          <w:p w:rsidR="00000000" w:rsidDel="00000000" w:rsidP="00000000" w:rsidRDefault="00000000" w:rsidRPr="00000000" w14:paraId="000000F6">
            <w:pPr>
              <w:tabs>
                <w:tab w:val="left" w:leader="none" w:pos="4176"/>
              </w:tabs>
              <w:ind w:left="13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 Proyecto urbano:</w:t>
            </w:r>
          </w:p>
          <w:p w:rsidR="00000000" w:rsidDel="00000000" w:rsidP="00000000" w:rsidRDefault="00000000" w:rsidRPr="00000000" w14:paraId="000000F7">
            <w:pPr>
              <w:numPr>
                <w:ilvl w:val="0"/>
                <w:numId w:val="3"/>
              </w:numPr>
              <w:pBdr>
                <w:top w:space="0" w:sz="0" w:val="nil"/>
                <w:left w:space="0" w:sz="0" w:val="nil"/>
                <w:bottom w:space="0" w:sz="0" w:val="nil"/>
                <w:right w:space="0" w:sz="0" w:val="nil"/>
                <w:between w:space="0" w:sz="0" w:val="nil"/>
              </w:pBdr>
              <w:tabs>
                <w:tab w:val="left" w:leader="none" w:pos="4176"/>
              </w:tabs>
              <w:spacing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Metodología del proceso de diseño urbano</w:t>
            </w:r>
            <w:r w:rsidDel="00000000" w:rsidR="00000000" w:rsidRPr="00000000">
              <w:rPr>
                <w:rtl w:val="0"/>
              </w:rPr>
            </w:r>
          </w:p>
          <w:p w:rsidR="00000000" w:rsidDel="00000000" w:rsidP="00000000" w:rsidRDefault="00000000" w:rsidRPr="00000000" w14:paraId="000000F8">
            <w:pPr>
              <w:numPr>
                <w:ilvl w:val="0"/>
                <w:numId w:val="3"/>
              </w:numPr>
              <w:pBdr>
                <w:top w:space="0" w:sz="0" w:val="nil"/>
                <w:left w:space="0" w:sz="0" w:val="nil"/>
                <w:bottom w:space="0" w:sz="0" w:val="nil"/>
                <w:right w:space="0" w:sz="0" w:val="nil"/>
                <w:between w:space="0" w:sz="0" w:val="nil"/>
              </w:pBdr>
              <w:tabs>
                <w:tab w:val="left" w:leader="none" w:pos="4176"/>
              </w:tabs>
              <w:spacing w:after="200"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Elaboración de diagnóstico urbano</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F9">
            <w:pPr>
              <w:ind w:left="12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 Planificación y estrategias de intervención</w:t>
            </w:r>
          </w:p>
        </w:tc>
        <w:tc>
          <w:tcPr>
            <w:shd w:fill="ffffff" w:val="clear"/>
            <w:tcMar>
              <w:top w:w="11.0" w:type="dxa"/>
              <w:left w:w="11.0" w:type="dxa"/>
              <w:bottom w:w="0.0" w:type="dxa"/>
              <w:right w:w="11.0" w:type="dxa"/>
            </w:tcMar>
          </w:tcPr>
          <w:p w:rsidR="00000000" w:rsidDel="00000000" w:rsidP="00000000" w:rsidRDefault="00000000" w:rsidRPr="00000000" w14:paraId="000000FA">
            <w:pPr>
              <w:tabs>
                <w:tab w:val="left" w:leader="none" w:pos="4176"/>
              </w:tabs>
              <w:ind w:left="13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 Marco conceptual teórico-práctico:</w:t>
            </w:r>
          </w:p>
          <w:p w:rsidR="00000000" w:rsidDel="00000000" w:rsidP="00000000" w:rsidRDefault="00000000" w:rsidRPr="00000000" w14:paraId="000000FB">
            <w:pPr>
              <w:numPr>
                <w:ilvl w:val="0"/>
                <w:numId w:val="3"/>
              </w:numPr>
              <w:pBdr>
                <w:top w:space="0" w:sz="0" w:val="nil"/>
                <w:left w:space="0" w:sz="0" w:val="nil"/>
                <w:bottom w:space="0" w:sz="0" w:val="nil"/>
                <w:right w:space="0" w:sz="0" w:val="nil"/>
                <w:between w:space="0" w:sz="0" w:val="nil"/>
              </w:pBdr>
              <w:tabs>
                <w:tab w:val="left" w:leader="none" w:pos="4176"/>
              </w:tabs>
              <w:spacing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Revisión y refuerzo de conceptos de la primera unidad</w:t>
            </w:r>
            <w:r w:rsidDel="00000000" w:rsidR="00000000" w:rsidRPr="00000000">
              <w:rPr>
                <w:rtl w:val="0"/>
              </w:rPr>
            </w:r>
          </w:p>
          <w:p w:rsidR="00000000" w:rsidDel="00000000" w:rsidP="00000000" w:rsidRDefault="00000000" w:rsidRPr="00000000" w14:paraId="000000FC">
            <w:pPr>
              <w:numPr>
                <w:ilvl w:val="0"/>
                <w:numId w:val="3"/>
              </w:numPr>
              <w:pBdr>
                <w:top w:space="0" w:sz="0" w:val="nil"/>
                <w:left w:space="0" w:sz="0" w:val="nil"/>
                <w:bottom w:space="0" w:sz="0" w:val="nil"/>
                <w:right w:space="0" w:sz="0" w:val="nil"/>
                <w:between w:space="0" w:sz="0" w:val="nil"/>
              </w:pBdr>
              <w:tabs>
                <w:tab w:val="left" w:leader="none" w:pos="4176"/>
              </w:tabs>
              <w:spacing w:after="200"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Conceptos y herramientas complementarias</w:t>
            </w:r>
            <w:r w:rsidDel="00000000" w:rsidR="00000000" w:rsidRPr="00000000">
              <w:rPr>
                <w:rtl w:val="0"/>
              </w:rPr>
            </w:r>
          </w:p>
          <w:p w:rsidR="00000000" w:rsidDel="00000000" w:rsidP="00000000" w:rsidRDefault="00000000" w:rsidRPr="00000000" w14:paraId="000000FD">
            <w:pPr>
              <w:tabs>
                <w:tab w:val="left" w:leader="none" w:pos="4176"/>
              </w:tabs>
              <w:ind w:left="13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 Caso de estudio:</w:t>
            </w:r>
          </w:p>
          <w:p w:rsidR="00000000" w:rsidDel="00000000" w:rsidP="00000000" w:rsidRDefault="00000000" w:rsidRPr="00000000" w14:paraId="000000FE">
            <w:pPr>
              <w:numPr>
                <w:ilvl w:val="0"/>
                <w:numId w:val="3"/>
              </w:numPr>
              <w:pBdr>
                <w:top w:space="0" w:sz="0" w:val="nil"/>
                <w:left w:space="0" w:sz="0" w:val="nil"/>
                <w:bottom w:space="0" w:sz="0" w:val="nil"/>
                <w:right w:space="0" w:sz="0" w:val="nil"/>
                <w:between w:space="0" w:sz="0" w:val="nil"/>
              </w:pBdr>
              <w:tabs>
                <w:tab w:val="left" w:leader="none" w:pos="4176"/>
              </w:tabs>
              <w:spacing w:after="200"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Profundización sobre el caso de estudio</w:t>
            </w:r>
            <w:r w:rsidDel="00000000" w:rsidR="00000000" w:rsidRPr="00000000">
              <w:rPr>
                <w:rtl w:val="0"/>
              </w:rPr>
            </w:r>
          </w:p>
          <w:p w:rsidR="00000000" w:rsidDel="00000000" w:rsidP="00000000" w:rsidRDefault="00000000" w:rsidRPr="00000000" w14:paraId="000000FF">
            <w:pPr>
              <w:tabs>
                <w:tab w:val="left" w:leader="none" w:pos="4176"/>
              </w:tabs>
              <w:ind w:left="13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 Proyecto urbano:</w:t>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tabs>
                <w:tab w:val="left" w:leader="none" w:pos="4176"/>
              </w:tabs>
              <w:spacing w:after="200"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Elaboración de Plan Maestro del proyecto urbano</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101">
            <w:pPr>
              <w:ind w:left="12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 Diseño urbano</w:t>
            </w:r>
          </w:p>
        </w:tc>
        <w:tc>
          <w:tcPr>
            <w:shd w:fill="ffffff" w:val="clear"/>
            <w:tcMar>
              <w:top w:w="11.0" w:type="dxa"/>
              <w:left w:w="11.0" w:type="dxa"/>
              <w:bottom w:w="0.0" w:type="dxa"/>
              <w:right w:w="11.0" w:type="dxa"/>
            </w:tcMar>
          </w:tcPr>
          <w:p w:rsidR="00000000" w:rsidDel="00000000" w:rsidP="00000000" w:rsidRDefault="00000000" w:rsidRPr="00000000" w14:paraId="00000102">
            <w:pPr>
              <w:tabs>
                <w:tab w:val="left" w:leader="none" w:pos="4176"/>
              </w:tabs>
              <w:ind w:left="13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 Marco conceptual teórico-práctico:</w:t>
            </w:r>
          </w:p>
          <w:p w:rsidR="00000000" w:rsidDel="00000000" w:rsidP="00000000" w:rsidRDefault="00000000" w:rsidRPr="00000000" w14:paraId="00000103">
            <w:pPr>
              <w:numPr>
                <w:ilvl w:val="0"/>
                <w:numId w:val="3"/>
              </w:numPr>
              <w:pBdr>
                <w:top w:space="0" w:sz="0" w:val="nil"/>
                <w:left w:space="0" w:sz="0" w:val="nil"/>
                <w:bottom w:space="0" w:sz="0" w:val="nil"/>
                <w:right w:space="0" w:sz="0" w:val="nil"/>
                <w:between w:space="0" w:sz="0" w:val="nil"/>
              </w:pBdr>
              <w:tabs>
                <w:tab w:val="left" w:leader="none" w:pos="4176"/>
              </w:tabs>
              <w:spacing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Revisión y refuerzo de conceptos de la primera unidad</w:t>
            </w:r>
            <w:r w:rsidDel="00000000" w:rsidR="00000000" w:rsidRPr="00000000">
              <w:rPr>
                <w:rtl w:val="0"/>
              </w:rPr>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tabs>
                <w:tab w:val="left" w:leader="none" w:pos="4176"/>
              </w:tabs>
              <w:spacing w:after="200"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Conceptos y herramientas complementarias</w:t>
            </w:r>
            <w:r w:rsidDel="00000000" w:rsidR="00000000" w:rsidRPr="00000000">
              <w:rPr>
                <w:rtl w:val="0"/>
              </w:rPr>
            </w:r>
          </w:p>
          <w:p w:rsidR="00000000" w:rsidDel="00000000" w:rsidP="00000000" w:rsidRDefault="00000000" w:rsidRPr="00000000" w14:paraId="00000105">
            <w:pPr>
              <w:tabs>
                <w:tab w:val="left" w:leader="none" w:pos="4176"/>
              </w:tabs>
              <w:ind w:left="13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 Caso de estudio:</w:t>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tabs>
                <w:tab w:val="left" w:leader="none" w:pos="4176"/>
              </w:tabs>
              <w:spacing w:after="200"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Profundización sobre el caso de estudio</w:t>
            </w:r>
            <w:r w:rsidDel="00000000" w:rsidR="00000000" w:rsidRPr="00000000">
              <w:rPr>
                <w:rtl w:val="0"/>
              </w:rPr>
            </w:r>
          </w:p>
          <w:p w:rsidR="00000000" w:rsidDel="00000000" w:rsidP="00000000" w:rsidRDefault="00000000" w:rsidRPr="00000000" w14:paraId="00000107">
            <w:pPr>
              <w:tabs>
                <w:tab w:val="left" w:leader="none" w:pos="4176"/>
              </w:tabs>
              <w:ind w:left="137"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 Proyecto urbano:</w:t>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tabs>
                <w:tab w:val="left" w:leader="none" w:pos="4176"/>
              </w:tabs>
              <w:spacing w:after="200" w:line="276" w:lineRule="auto"/>
              <w:ind w:left="420" w:hanging="248"/>
              <w:rPr>
                <w:color w:val="000000"/>
                <w:sz w:val="20"/>
                <w:szCs w:val="20"/>
              </w:rPr>
            </w:pPr>
            <w:r w:rsidDel="00000000" w:rsidR="00000000" w:rsidRPr="00000000">
              <w:rPr>
                <w:rFonts w:ascii="Gill Sans" w:cs="Gill Sans" w:eastAsia="Gill Sans" w:hAnsi="Gill Sans"/>
                <w:color w:val="000000"/>
                <w:sz w:val="20"/>
                <w:szCs w:val="20"/>
                <w:rtl w:val="0"/>
              </w:rPr>
              <w:t xml:space="preserve">Elaboración de Diseño del proyecto urbano</w:t>
            </w:r>
            <w:r w:rsidDel="00000000" w:rsidR="00000000" w:rsidRPr="00000000">
              <w:rPr>
                <w:rtl w:val="0"/>
              </w:rPr>
            </w:r>
          </w:p>
        </w:tc>
      </w:tr>
    </w:tbl>
    <w:p w:rsidR="00000000" w:rsidDel="00000000" w:rsidP="00000000" w:rsidRDefault="00000000" w:rsidRPr="00000000" w14:paraId="00000109">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0A">
      <w:pPr>
        <w:numPr>
          <w:ilvl w:val="0"/>
          <w:numId w:val="4"/>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REFERENCIAS</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0C">
      <w:pPr>
        <w:numPr>
          <w:ilvl w:val="1"/>
          <w:numId w:val="4"/>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Obligatorias</w:t>
      </w:r>
    </w:p>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0E">
      <w:pPr>
        <w:numPr>
          <w:ilvl w:val="0"/>
          <w:numId w:val="5"/>
        </w:numPr>
        <w:pBdr>
          <w:top w:space="0" w:sz="0" w:val="nil"/>
          <w:left w:space="0" w:sz="0" w:val="nil"/>
          <w:bottom w:space="0" w:sz="0" w:val="nil"/>
          <w:right w:space="0" w:sz="0" w:val="nil"/>
          <w:between w:space="0" w:sz="0" w:val="nil"/>
        </w:pBd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Abramo, P. (2012). La ciudad com-fusa: mercado y producción de la estructura urbana en las grandes metrópolis latinoamericanas. </w:t>
      </w:r>
      <w:r w:rsidDel="00000000" w:rsidR="00000000" w:rsidRPr="00000000">
        <w:rPr>
          <w:rFonts w:ascii="Gill Sans" w:cs="Gill Sans" w:eastAsia="Gill Sans" w:hAnsi="Gill Sans"/>
          <w:i w:val="1"/>
          <w:sz w:val="20"/>
          <w:szCs w:val="20"/>
          <w:rtl w:val="0"/>
        </w:rPr>
        <w:t xml:space="preserve">EURE</w:t>
      </w:r>
      <w:r w:rsidDel="00000000" w:rsidR="00000000" w:rsidRPr="00000000">
        <w:rPr>
          <w:rFonts w:ascii="Gill Sans" w:cs="Gill Sans" w:eastAsia="Gill Sans" w:hAnsi="Gill Sans"/>
          <w:sz w:val="20"/>
          <w:szCs w:val="20"/>
          <w:rtl w:val="0"/>
        </w:rPr>
        <w:t xml:space="preserve">, </w:t>
      </w:r>
      <w:r w:rsidDel="00000000" w:rsidR="00000000" w:rsidRPr="00000000">
        <w:rPr>
          <w:rFonts w:ascii="Gill Sans" w:cs="Gill Sans" w:eastAsia="Gill Sans" w:hAnsi="Gill Sans"/>
          <w:i w:val="1"/>
          <w:sz w:val="20"/>
          <w:szCs w:val="20"/>
          <w:rtl w:val="0"/>
        </w:rPr>
        <w:t xml:space="preserve">38</w:t>
      </w:r>
      <w:r w:rsidDel="00000000" w:rsidR="00000000" w:rsidRPr="00000000">
        <w:rPr>
          <w:rFonts w:ascii="Gill Sans" w:cs="Gill Sans" w:eastAsia="Gill Sans" w:hAnsi="Gill Sans"/>
          <w:sz w:val="20"/>
          <w:szCs w:val="20"/>
          <w:rtl w:val="0"/>
        </w:rPr>
        <w:t xml:space="preserve">(114), 35–69.</w:t>
      </w:r>
    </w:p>
    <w:p w:rsidR="00000000" w:rsidDel="00000000" w:rsidP="00000000" w:rsidRDefault="00000000" w:rsidRPr="00000000" w14:paraId="0000010F">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Alexander, C (1965). La ciudad no es un árbol. </w:t>
      </w:r>
      <w:r w:rsidDel="00000000" w:rsidR="00000000" w:rsidRPr="00000000">
        <w:rPr>
          <w:rFonts w:ascii="Gill Sans" w:cs="Gill Sans" w:eastAsia="Gill Sans" w:hAnsi="Gill Sans"/>
          <w:i w:val="1"/>
          <w:sz w:val="20"/>
          <w:szCs w:val="20"/>
          <w:rtl w:val="0"/>
        </w:rPr>
        <w:t xml:space="preserve">Architectural Forum</w:t>
      </w:r>
      <w:r w:rsidDel="00000000" w:rsidR="00000000" w:rsidRPr="00000000">
        <w:rPr>
          <w:rFonts w:ascii="Gill Sans" w:cs="Gill Sans" w:eastAsia="Gill Sans" w:hAnsi="Gill Sans"/>
          <w:sz w:val="20"/>
          <w:szCs w:val="20"/>
          <w:rtl w:val="0"/>
        </w:rPr>
        <w:t xml:space="preserve">, 122(1&amp; 2), 58-62.</w:t>
      </w:r>
    </w:p>
    <w:p w:rsidR="00000000" w:rsidDel="00000000" w:rsidP="00000000" w:rsidRDefault="00000000" w:rsidRPr="00000000" w14:paraId="00000110">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​​Fernández-Maldonado, A. M., Romein, A., Verkoren, O., &amp; Parente Paula Pessoa, R. (2014). Polycentric Structures in Latin American Metropolitan Areas: Identifying Employment Sub-centres. </w:t>
      </w:r>
      <w:r w:rsidDel="00000000" w:rsidR="00000000" w:rsidRPr="00000000">
        <w:rPr>
          <w:rFonts w:ascii="Gill Sans" w:cs="Gill Sans" w:eastAsia="Gill Sans" w:hAnsi="Gill Sans"/>
          <w:i w:val="1"/>
          <w:sz w:val="20"/>
          <w:szCs w:val="20"/>
          <w:rtl w:val="0"/>
        </w:rPr>
        <w:t xml:space="preserve">Regional Studies</w:t>
      </w:r>
      <w:r w:rsidDel="00000000" w:rsidR="00000000" w:rsidRPr="00000000">
        <w:rPr>
          <w:rFonts w:ascii="Gill Sans" w:cs="Gill Sans" w:eastAsia="Gill Sans" w:hAnsi="Gill Sans"/>
          <w:sz w:val="20"/>
          <w:szCs w:val="20"/>
          <w:rtl w:val="0"/>
        </w:rPr>
        <w:t xml:space="preserve">, </w:t>
      </w:r>
      <w:r w:rsidDel="00000000" w:rsidR="00000000" w:rsidRPr="00000000">
        <w:rPr>
          <w:rFonts w:ascii="Gill Sans" w:cs="Gill Sans" w:eastAsia="Gill Sans" w:hAnsi="Gill Sans"/>
          <w:i w:val="1"/>
          <w:sz w:val="20"/>
          <w:szCs w:val="20"/>
          <w:rtl w:val="0"/>
        </w:rPr>
        <w:t xml:space="preserve">48</w:t>
      </w:r>
      <w:r w:rsidDel="00000000" w:rsidR="00000000" w:rsidRPr="00000000">
        <w:rPr>
          <w:rFonts w:ascii="Gill Sans" w:cs="Gill Sans" w:eastAsia="Gill Sans" w:hAnsi="Gill Sans"/>
          <w:sz w:val="20"/>
          <w:szCs w:val="20"/>
          <w:rtl w:val="0"/>
        </w:rPr>
        <w:t xml:space="preserve">(12), 1954–1971.</w:t>
      </w:r>
    </w:p>
    <w:p w:rsidR="00000000" w:rsidDel="00000000" w:rsidP="00000000" w:rsidRDefault="00000000" w:rsidRPr="00000000" w14:paraId="00000111">
      <w:pPr>
        <w:numPr>
          <w:ilvl w:val="0"/>
          <w:numId w:val="5"/>
        </w:numPr>
        <w:ind w:left="720" w:hanging="360"/>
        <w:jc w:val="both"/>
        <w:rPr>
          <w:rFonts w:ascii="Arial" w:cs="Arial" w:eastAsia="Arial" w:hAnsi="Arial"/>
          <w:sz w:val="22"/>
          <w:szCs w:val="22"/>
        </w:rPr>
      </w:pPr>
      <w:r w:rsidDel="00000000" w:rsidR="00000000" w:rsidRPr="00000000">
        <w:rPr>
          <w:rFonts w:ascii="Gill Sans" w:cs="Gill Sans" w:eastAsia="Gill Sans" w:hAnsi="Gill Sans"/>
          <w:sz w:val="20"/>
          <w:szCs w:val="20"/>
          <w:rtl w:val="0"/>
        </w:rPr>
        <w:t xml:space="preserve">Hobbs, J. et al (2021) </w:t>
      </w:r>
      <w:r w:rsidDel="00000000" w:rsidR="00000000" w:rsidRPr="00000000">
        <w:rPr>
          <w:rFonts w:ascii="Gill Sans" w:cs="Gill Sans" w:eastAsia="Gill Sans" w:hAnsi="Gill Sans"/>
          <w:i w:val="1"/>
          <w:sz w:val="20"/>
          <w:szCs w:val="20"/>
          <w:rtl w:val="0"/>
        </w:rPr>
        <w:t xml:space="preserve">Transit Oriented Development. How to make cities more compact, connected and coordinated</w:t>
      </w:r>
      <w:r w:rsidDel="00000000" w:rsidR="00000000" w:rsidRPr="00000000">
        <w:rPr>
          <w:rFonts w:ascii="Gill Sans" w:cs="Gill Sans" w:eastAsia="Gill Sans" w:hAnsi="Gill Sans"/>
          <w:sz w:val="20"/>
          <w:szCs w:val="20"/>
          <w:rtl w:val="0"/>
        </w:rPr>
        <w:t xml:space="preserve">. IDB</w:t>
      </w:r>
      <w:r w:rsidDel="00000000" w:rsidR="00000000" w:rsidRPr="00000000">
        <w:rPr>
          <w:rtl w:val="0"/>
        </w:rPr>
      </w:r>
    </w:p>
    <w:p w:rsidR="00000000" w:rsidDel="00000000" w:rsidP="00000000" w:rsidRDefault="00000000" w:rsidRPr="00000000" w14:paraId="00000112">
      <w:pPr>
        <w:numPr>
          <w:ilvl w:val="0"/>
          <w:numId w:val="5"/>
        </w:numPr>
        <w:ind w:left="720" w:hanging="360"/>
        <w:jc w:val="both"/>
        <w:rPr>
          <w:rFonts w:ascii="Arial" w:cs="Arial" w:eastAsia="Arial" w:hAnsi="Arial"/>
          <w:sz w:val="22"/>
          <w:szCs w:val="22"/>
        </w:rPr>
      </w:pPr>
      <w:r w:rsidDel="00000000" w:rsidR="00000000" w:rsidRPr="00000000">
        <w:rPr>
          <w:rFonts w:ascii="Gill Sans" w:cs="Gill Sans" w:eastAsia="Gill Sans" w:hAnsi="Gill Sans"/>
          <w:sz w:val="20"/>
          <w:szCs w:val="20"/>
          <w:rtl w:val="0"/>
        </w:rPr>
        <w:t xml:space="preserve">Institute for Transportation and Development Policy (2017). </w:t>
      </w:r>
      <w:r w:rsidDel="00000000" w:rsidR="00000000" w:rsidRPr="00000000">
        <w:rPr>
          <w:rFonts w:ascii="Gill Sans" w:cs="Gill Sans" w:eastAsia="Gill Sans" w:hAnsi="Gill Sans"/>
          <w:i w:val="1"/>
          <w:sz w:val="20"/>
          <w:szCs w:val="20"/>
          <w:rtl w:val="0"/>
        </w:rPr>
        <w:t xml:space="preserve">TOD Standard</w:t>
      </w:r>
      <w:r w:rsidDel="00000000" w:rsidR="00000000" w:rsidRPr="00000000">
        <w:rPr>
          <w:rFonts w:ascii="Gill Sans" w:cs="Gill Sans" w:eastAsia="Gill Sans" w:hAnsi="Gill Sans"/>
          <w:sz w:val="20"/>
          <w:szCs w:val="20"/>
          <w:rtl w:val="0"/>
        </w:rPr>
        <w:t xml:space="preserve">, 3rd ed. New York: ITDP</w:t>
      </w:r>
      <w:r w:rsidDel="00000000" w:rsidR="00000000" w:rsidRPr="00000000">
        <w:rPr>
          <w:rtl w:val="0"/>
        </w:rPr>
      </w:r>
    </w:p>
    <w:p w:rsidR="00000000" w:rsidDel="00000000" w:rsidP="00000000" w:rsidRDefault="00000000" w:rsidRPr="00000000" w14:paraId="00000113">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highlight w:val="white"/>
          <w:rtl w:val="0"/>
        </w:rPr>
        <w:t xml:space="preserve">Rueda, S. (1997). La ciudad compacta y diversa frente a la conurbación difusa. </w:t>
      </w:r>
      <w:r w:rsidDel="00000000" w:rsidR="00000000" w:rsidRPr="00000000">
        <w:rPr>
          <w:rFonts w:ascii="Gill Sans" w:cs="Gill Sans" w:eastAsia="Gill Sans" w:hAnsi="Gill Sans"/>
          <w:i w:val="1"/>
          <w:sz w:val="20"/>
          <w:szCs w:val="20"/>
          <w:rtl w:val="0"/>
        </w:rPr>
        <w:t xml:space="preserve">Ciudades para un futuro más sostenible</w:t>
      </w:r>
      <w:r w:rsidDel="00000000" w:rsidR="00000000" w:rsidRPr="00000000">
        <w:rPr>
          <w:rFonts w:ascii="Gill Sans" w:cs="Gill Sans" w:eastAsia="Gill Sans" w:hAnsi="Gill Sans"/>
          <w:sz w:val="20"/>
          <w:szCs w:val="20"/>
          <w:highlight w:val="white"/>
          <w:rtl w:val="0"/>
        </w:rPr>
        <w:t xml:space="preserve">, </w:t>
      </w:r>
      <w:r w:rsidDel="00000000" w:rsidR="00000000" w:rsidRPr="00000000">
        <w:rPr>
          <w:rFonts w:ascii="Gill Sans" w:cs="Gill Sans" w:eastAsia="Gill Sans" w:hAnsi="Gill Sans"/>
          <w:i w:val="1"/>
          <w:sz w:val="20"/>
          <w:szCs w:val="20"/>
          <w:rtl w:val="0"/>
        </w:rPr>
        <w:t xml:space="preserve">19</w:t>
      </w:r>
      <w:r w:rsidDel="00000000" w:rsidR="00000000" w:rsidRPr="00000000">
        <w:rPr>
          <w:rFonts w:ascii="Gill Sans" w:cs="Gill Sans" w:eastAsia="Gill Sans" w:hAnsi="Gill Sans"/>
          <w:sz w:val="20"/>
          <w:szCs w:val="20"/>
          <w:highlight w:val="white"/>
          <w:rtl w:val="0"/>
        </w:rPr>
        <w:t xml:space="preserve">(01), 69-83.</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15">
      <w:pPr>
        <w:numPr>
          <w:ilvl w:val="1"/>
          <w:numId w:val="4"/>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Complementarias</w:t>
      </w:r>
    </w:p>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17">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Anguelovski, I., Shi, L., Chu, E., Gallagher, D., Goh, K., Lamb, Z., ... &amp; Teicher, H. (2016). Equity impacts of urban land use planning for climate adaptation: Critical perspectives from the global north and south. Journal of Planning Education and Research, 36(3), 333-348.</w:t>
      </w:r>
    </w:p>
    <w:p w:rsidR="00000000" w:rsidDel="00000000" w:rsidP="00000000" w:rsidRDefault="00000000" w:rsidRPr="00000000" w14:paraId="00000118">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Biderman, C., Sandroni, P., Smolka, M., &amp; Martin, O. (2006). Large-scale urban interventions: the case of Faria Lima in São Paulo. Land Lines, 18(2), 8-13.</w:t>
      </w:r>
    </w:p>
    <w:p w:rsidR="00000000" w:rsidDel="00000000" w:rsidP="00000000" w:rsidRDefault="00000000" w:rsidRPr="00000000" w14:paraId="00000119">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Burdett, E.  &amp; Rode,P. (2018). Shaping Cities in an Urban Age. LSE - Phaidon.</w:t>
      </w:r>
    </w:p>
    <w:p w:rsidR="00000000" w:rsidDel="00000000" w:rsidP="00000000" w:rsidRDefault="00000000" w:rsidRPr="00000000" w14:paraId="0000011A">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Burdett, E. (2007). The Endless city. Urban Age Project. LSE - Phaidon.</w:t>
      </w:r>
    </w:p>
    <w:p w:rsidR="00000000" w:rsidDel="00000000" w:rsidP="00000000" w:rsidRDefault="00000000" w:rsidRPr="00000000" w14:paraId="0000011B">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Carmona, M., Tiesdell, S., Heath, T., &amp; Oc, T. (2003). </w:t>
      </w:r>
      <w:r w:rsidDel="00000000" w:rsidR="00000000" w:rsidRPr="00000000">
        <w:rPr>
          <w:rFonts w:ascii="Gill Sans" w:cs="Gill Sans" w:eastAsia="Gill Sans" w:hAnsi="Gill Sans"/>
          <w:i w:val="1"/>
          <w:sz w:val="20"/>
          <w:szCs w:val="20"/>
          <w:rtl w:val="0"/>
        </w:rPr>
        <w:t xml:space="preserve">Contexts for urban design</w:t>
      </w:r>
      <w:r w:rsidDel="00000000" w:rsidR="00000000" w:rsidRPr="00000000">
        <w:rPr>
          <w:rFonts w:ascii="Gill Sans" w:cs="Gill Sans" w:eastAsia="Gill Sans" w:hAnsi="Gill Sans"/>
          <w:sz w:val="20"/>
          <w:szCs w:val="20"/>
          <w:rtl w:val="0"/>
        </w:rPr>
        <w:t xml:space="preserve">. Public Spaces, urban spaces: the dimensions of urban design (pp. 36-57). Oxford: Architectural Press.</w:t>
      </w:r>
    </w:p>
    <w:p w:rsidR="00000000" w:rsidDel="00000000" w:rsidP="00000000" w:rsidRDefault="00000000" w:rsidRPr="00000000" w14:paraId="0000011C">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Durand, M. &amp; Metzger, P. (2009). Gestión de residuos y transferencia de vulnerabilidad en Lima/Callao. Boletín del IFEA 38(3), 623-646.</w:t>
      </w:r>
    </w:p>
    <w:p w:rsidR="00000000" w:rsidDel="00000000" w:rsidP="00000000" w:rsidRDefault="00000000" w:rsidRPr="00000000" w14:paraId="0000011D">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Eraydin, A., &amp; Tasan-Kok, T. (Eds.). (2013). </w:t>
      </w:r>
      <w:r w:rsidDel="00000000" w:rsidR="00000000" w:rsidRPr="00000000">
        <w:rPr>
          <w:rFonts w:ascii="Gill Sans" w:cs="Gill Sans" w:eastAsia="Gill Sans" w:hAnsi="Gill Sans"/>
          <w:i w:val="1"/>
          <w:sz w:val="20"/>
          <w:szCs w:val="20"/>
          <w:rtl w:val="0"/>
        </w:rPr>
        <w:t xml:space="preserve">Resilience thinking in urban planning</w:t>
      </w:r>
      <w:r w:rsidDel="00000000" w:rsidR="00000000" w:rsidRPr="00000000">
        <w:rPr>
          <w:rFonts w:ascii="Gill Sans" w:cs="Gill Sans" w:eastAsia="Gill Sans" w:hAnsi="Gill Sans"/>
          <w:sz w:val="20"/>
          <w:szCs w:val="20"/>
          <w:rtl w:val="0"/>
        </w:rPr>
        <w:t xml:space="preserve">. Nueva York: Springer.</w:t>
      </w:r>
    </w:p>
    <w:p w:rsidR="00000000" w:rsidDel="00000000" w:rsidP="00000000" w:rsidRDefault="00000000" w:rsidRPr="00000000" w14:paraId="0000011E">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Gausa, M. (2010). OPEN - Arquitectura y ciudad contemporánea. Teoría e historia de un cambio. ACTAR</w:t>
      </w:r>
    </w:p>
    <w:p w:rsidR="00000000" w:rsidDel="00000000" w:rsidP="00000000" w:rsidRDefault="00000000" w:rsidRPr="00000000" w14:paraId="0000011F">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Glaeser, E.  (2011). El triunfo de las ciudades. México: Taurus.</w:t>
      </w:r>
    </w:p>
    <w:p w:rsidR="00000000" w:rsidDel="00000000" w:rsidP="00000000" w:rsidRDefault="00000000" w:rsidRPr="00000000" w14:paraId="00000120">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Gonzales de Olarte, E &amp; Del Pozo Segura, J.M. (2012). Lima, una ciudad policéntrica. Un análisis a partir de la localización del empleo. </w:t>
      </w:r>
      <w:r w:rsidDel="00000000" w:rsidR="00000000" w:rsidRPr="00000000">
        <w:rPr>
          <w:rFonts w:ascii="Gill Sans" w:cs="Gill Sans" w:eastAsia="Gill Sans" w:hAnsi="Gill Sans"/>
          <w:i w:val="1"/>
          <w:sz w:val="20"/>
          <w:szCs w:val="20"/>
          <w:rtl w:val="0"/>
        </w:rPr>
        <w:t xml:space="preserve">Investigaciones Regionales</w:t>
      </w:r>
      <w:r w:rsidDel="00000000" w:rsidR="00000000" w:rsidRPr="00000000">
        <w:rPr>
          <w:rFonts w:ascii="Gill Sans" w:cs="Gill Sans" w:eastAsia="Gill Sans" w:hAnsi="Gill Sans"/>
          <w:sz w:val="20"/>
          <w:szCs w:val="20"/>
          <w:rtl w:val="0"/>
        </w:rPr>
        <w:t xml:space="preserve">. 29-52</w:t>
      </w:r>
    </w:p>
    <w:p w:rsidR="00000000" w:rsidDel="00000000" w:rsidP="00000000" w:rsidRDefault="00000000" w:rsidRPr="00000000" w14:paraId="00000121">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Indovina, F. (2009). Dalla città diffusa all' arcipelago metropolitano: Franco Angeli.</w:t>
      </w:r>
    </w:p>
    <w:p w:rsidR="00000000" w:rsidDel="00000000" w:rsidP="00000000" w:rsidRDefault="00000000" w:rsidRPr="00000000" w14:paraId="00000122">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Jacobs, J. (1961). </w:t>
      </w:r>
      <w:r w:rsidDel="00000000" w:rsidR="00000000" w:rsidRPr="00000000">
        <w:rPr>
          <w:rFonts w:ascii="Gill Sans" w:cs="Gill Sans" w:eastAsia="Gill Sans" w:hAnsi="Gill Sans"/>
          <w:i w:val="1"/>
          <w:sz w:val="20"/>
          <w:szCs w:val="20"/>
          <w:rtl w:val="0"/>
        </w:rPr>
        <w:t xml:space="preserve">The Uses of City Neighborhoods</w:t>
      </w:r>
      <w:r w:rsidDel="00000000" w:rsidR="00000000" w:rsidRPr="00000000">
        <w:rPr>
          <w:rFonts w:ascii="Gill Sans" w:cs="Gill Sans" w:eastAsia="Gill Sans" w:hAnsi="Gill Sans"/>
          <w:sz w:val="20"/>
          <w:szCs w:val="20"/>
          <w:rtl w:val="0"/>
        </w:rPr>
        <w:t xml:space="preserve">. The Death and Life of Great American Cities (pp. 112-140).</w:t>
      </w:r>
    </w:p>
    <w:p w:rsidR="00000000" w:rsidDel="00000000" w:rsidP="00000000" w:rsidRDefault="00000000" w:rsidRPr="00000000" w14:paraId="00000123">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Ludeña, W., Zuchetti, A., &amp; García Calderón, J. (2013). </w:t>
      </w:r>
      <w:r w:rsidDel="00000000" w:rsidR="00000000" w:rsidRPr="00000000">
        <w:rPr>
          <w:rFonts w:ascii="Gill Sans" w:cs="Gill Sans" w:eastAsia="Gill Sans" w:hAnsi="Gill Sans"/>
          <w:i w:val="1"/>
          <w:sz w:val="20"/>
          <w:szCs w:val="20"/>
          <w:rtl w:val="0"/>
        </w:rPr>
        <w:t xml:space="preserve">Lima y espacios públicos. Perfiles y estadística integrada 2010</w:t>
      </w:r>
      <w:r w:rsidDel="00000000" w:rsidR="00000000" w:rsidRPr="00000000">
        <w:rPr>
          <w:rFonts w:ascii="Gill Sans" w:cs="Gill Sans" w:eastAsia="Gill Sans" w:hAnsi="Gill Sans"/>
          <w:sz w:val="20"/>
          <w:szCs w:val="20"/>
          <w:rtl w:val="0"/>
        </w:rPr>
        <w:t xml:space="preserve">. Pontificia Universidad Católica del Perú, Facultad de Arquitectura y Urbanismo.</w:t>
      </w:r>
    </w:p>
    <w:p w:rsidR="00000000" w:rsidDel="00000000" w:rsidP="00000000" w:rsidRDefault="00000000" w:rsidRPr="00000000" w14:paraId="00000124">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Lynch, K. (1984).</w:t>
      </w:r>
      <w:r w:rsidDel="00000000" w:rsidR="00000000" w:rsidRPr="00000000">
        <w:rPr>
          <w:rFonts w:ascii="Gill Sans" w:cs="Gill Sans" w:eastAsia="Gill Sans" w:hAnsi="Gill Sans"/>
          <w:i w:val="1"/>
          <w:sz w:val="20"/>
          <w:szCs w:val="20"/>
          <w:rtl w:val="0"/>
        </w:rPr>
        <w:t xml:space="preserve">Form Values in Urban History. </w:t>
      </w:r>
      <w:r w:rsidDel="00000000" w:rsidR="00000000" w:rsidRPr="00000000">
        <w:rPr>
          <w:rFonts w:ascii="Gill Sans" w:cs="Gill Sans" w:eastAsia="Gill Sans" w:hAnsi="Gill Sans"/>
          <w:sz w:val="20"/>
          <w:szCs w:val="20"/>
          <w:rtl w:val="0"/>
        </w:rPr>
        <w:t xml:space="preserve"> Good city form (pp. 5-36). MIT press.</w:t>
      </w:r>
    </w:p>
    <w:p w:rsidR="00000000" w:rsidDel="00000000" w:rsidP="00000000" w:rsidRDefault="00000000" w:rsidRPr="00000000" w14:paraId="00000125">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Lynch, K. (1960). The image of the city. Cambridge: The MIT Press.</w:t>
      </w:r>
    </w:p>
    <w:p w:rsidR="00000000" w:rsidDel="00000000" w:rsidP="00000000" w:rsidRDefault="00000000" w:rsidRPr="00000000" w14:paraId="00000126">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Markusen, A., &amp; Gadwa, A. (2010b, October). Creative placemaking. Washington, DC: National Endowment for the Arts. Executive Summary and Introduction.</w:t>
      </w:r>
    </w:p>
    <w:p w:rsidR="00000000" w:rsidDel="00000000" w:rsidP="00000000" w:rsidRDefault="00000000" w:rsidRPr="00000000" w14:paraId="00000127">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Metzger, P., &amp; Robert, J. (2013). Elementos de reflexión sobre la resiliencia urbana: usos criticables y aportes potenciales. Territorios, 28, 21-40. </w:t>
      </w:r>
    </w:p>
    <w:p w:rsidR="00000000" w:rsidDel="00000000" w:rsidP="00000000" w:rsidRDefault="00000000" w:rsidRPr="00000000" w14:paraId="00000128">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Metzger, P., Gluski, P., Robert, J., &amp; Sierra, A. (2015). A</w:t>
      </w:r>
      <w:r w:rsidDel="00000000" w:rsidR="00000000" w:rsidRPr="00000000">
        <w:rPr>
          <w:rFonts w:ascii="Gill Sans" w:cs="Gill Sans" w:eastAsia="Gill Sans" w:hAnsi="Gill Sans"/>
          <w:i w:val="1"/>
          <w:sz w:val="20"/>
          <w:szCs w:val="20"/>
          <w:rtl w:val="0"/>
        </w:rPr>
        <w:t xml:space="preserve">tlas problemático de una metrópoli vulnerable. Desigualdades urbanas en Lima y Callao.</w:t>
      </w:r>
      <w:r w:rsidDel="00000000" w:rsidR="00000000" w:rsidRPr="00000000">
        <w:rPr>
          <w:rFonts w:ascii="Gill Sans" w:cs="Gill Sans" w:eastAsia="Gill Sans" w:hAnsi="Gill Sans"/>
          <w:sz w:val="20"/>
          <w:szCs w:val="20"/>
          <w:rtl w:val="0"/>
        </w:rPr>
        <w:t xml:space="preserve"> Recuperado de  http://www.ifea.org.pe/libreria/travaux/331/pdf/atlas-problematico-es.pdf</w:t>
      </w:r>
    </w:p>
    <w:p w:rsidR="00000000" w:rsidDel="00000000" w:rsidP="00000000" w:rsidRDefault="00000000" w:rsidRPr="00000000" w14:paraId="00000129">
      <w:pPr>
        <w:numPr>
          <w:ilvl w:val="0"/>
          <w:numId w:val="5"/>
        </w:numPr>
        <w:ind w:left="72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Programa de las Naciones Unidas para los Asentamientos Humanos (ONU-Habitat). (2020). Nueva Agenda Urbana Ilustrada. Recuperado de: https://unhabitat.org/sites/default/files/2021/10/nueva-agenda-urbana-ilustrada.pdf</w:t>
      </w:r>
    </w:p>
    <w:p w:rsidR="00000000" w:rsidDel="00000000" w:rsidP="00000000" w:rsidRDefault="00000000" w:rsidRPr="00000000" w14:paraId="0000012A">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Rode, P &amp; Floater, G (2014) Accessibility in cities : Transport and urban form. </w:t>
      </w:r>
      <w:r w:rsidDel="00000000" w:rsidR="00000000" w:rsidRPr="00000000">
        <w:rPr>
          <w:rFonts w:ascii="Gill Sans" w:cs="Gill Sans" w:eastAsia="Gill Sans" w:hAnsi="Gill Sans"/>
          <w:i w:val="1"/>
          <w:sz w:val="20"/>
          <w:szCs w:val="20"/>
          <w:rtl w:val="0"/>
        </w:rPr>
        <w:t xml:space="preserve">LSE Cities. </w:t>
      </w:r>
      <w:r w:rsidDel="00000000" w:rsidR="00000000" w:rsidRPr="00000000">
        <w:rPr>
          <w:rFonts w:ascii="Gill Sans" w:cs="Gill Sans" w:eastAsia="Gill Sans" w:hAnsi="Gill Sans"/>
          <w:sz w:val="20"/>
          <w:szCs w:val="20"/>
          <w:rtl w:val="0"/>
        </w:rPr>
        <w:t xml:space="preserve">The New Climate Economy.</w:t>
      </w:r>
    </w:p>
    <w:p w:rsidR="00000000" w:rsidDel="00000000" w:rsidP="00000000" w:rsidRDefault="00000000" w:rsidRPr="00000000" w14:paraId="0000012B">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Sennett, R. (2018). Five Open Forms. In Building and dwelling: Ethics for the city  (pp. 205-241). Farrar, Straus and Giroux.</w:t>
      </w:r>
    </w:p>
    <w:p w:rsidR="00000000" w:rsidDel="00000000" w:rsidP="00000000" w:rsidRDefault="00000000" w:rsidRPr="00000000" w14:paraId="0000012C">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Sennett, R. (2017). </w:t>
      </w:r>
      <w:r w:rsidDel="00000000" w:rsidR="00000000" w:rsidRPr="00000000">
        <w:rPr>
          <w:rFonts w:ascii="Gill Sans" w:cs="Gill Sans" w:eastAsia="Gill Sans" w:hAnsi="Gill Sans"/>
          <w:i w:val="1"/>
          <w:sz w:val="20"/>
          <w:szCs w:val="20"/>
          <w:rtl w:val="0"/>
        </w:rPr>
        <w:t xml:space="preserve">The open city.  In The Post-Urban World</w:t>
      </w:r>
      <w:r w:rsidDel="00000000" w:rsidR="00000000" w:rsidRPr="00000000">
        <w:rPr>
          <w:rFonts w:ascii="Gill Sans" w:cs="Gill Sans" w:eastAsia="Gill Sans" w:hAnsi="Gill Sans"/>
          <w:sz w:val="20"/>
          <w:szCs w:val="20"/>
          <w:rtl w:val="0"/>
        </w:rPr>
        <w:t xml:space="preserve"> (pp. 97-106). Routledge.</w:t>
      </w:r>
    </w:p>
    <w:p w:rsidR="00000000" w:rsidDel="00000000" w:rsidP="00000000" w:rsidRDefault="00000000" w:rsidRPr="00000000" w14:paraId="0000012D">
      <w:pPr>
        <w:numPr>
          <w:ilvl w:val="0"/>
          <w:numId w:val="5"/>
        </w:numPr>
        <w:ind w:left="720" w:hanging="36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Speck, J. (2018). Walkable city rules: 101 steps to making better places. Island Press.</w:t>
      </w:r>
    </w:p>
    <w:p w:rsidR="00000000" w:rsidDel="00000000" w:rsidP="00000000" w:rsidRDefault="00000000" w:rsidRPr="00000000" w14:paraId="0000012E">
      <w:pPr>
        <w:numPr>
          <w:ilvl w:val="0"/>
          <w:numId w:val="5"/>
        </w:numPr>
        <w:ind w:left="720" w:hanging="360"/>
        <w:jc w:val="both"/>
        <w:rPr>
          <w:rFonts w:ascii="Gill Sans" w:cs="Gill Sans" w:eastAsia="Gill Sans" w:hAnsi="Gill Sans"/>
          <w:sz w:val="20"/>
          <w:szCs w:val="20"/>
        </w:rPr>
        <w:sectPr>
          <w:headerReference r:id="rId6" w:type="default"/>
          <w:headerReference r:id="rId7" w:type="first"/>
          <w:footerReference r:id="rId8" w:type="default"/>
          <w:footerReference r:id="rId9" w:type="first"/>
          <w:footerReference r:id="rId10" w:type="even"/>
          <w:pgSz w:h="16840" w:w="11900" w:orient="portrait"/>
          <w:pgMar w:bottom="1440" w:top="1440" w:left="1797" w:right="1797" w:header="709" w:footer="709"/>
          <w:pgNumType w:start="1"/>
          <w:titlePg w:val="1"/>
        </w:sectPr>
      </w:pPr>
      <w:r w:rsidDel="00000000" w:rsidR="00000000" w:rsidRPr="00000000">
        <w:rPr>
          <w:rFonts w:ascii="Gill Sans" w:cs="Gill Sans" w:eastAsia="Gill Sans" w:hAnsi="Gill Sans"/>
          <w:sz w:val="20"/>
          <w:szCs w:val="20"/>
          <w:rtl w:val="0"/>
        </w:rPr>
        <w:t xml:space="preserve">Vega Centeno, P., Dammert Guardia, M., Moschella, P., Vilela, M., Bensús, V., Fernández de Córdova, G., &amp; Pereira, O. (2019). </w:t>
      </w:r>
      <w:r w:rsidDel="00000000" w:rsidR="00000000" w:rsidRPr="00000000">
        <w:rPr>
          <w:rFonts w:ascii="Gill Sans" w:cs="Gill Sans" w:eastAsia="Gill Sans" w:hAnsi="Gill Sans"/>
          <w:i w:val="1"/>
          <w:sz w:val="20"/>
          <w:szCs w:val="20"/>
          <w:rtl w:val="0"/>
        </w:rPr>
        <w:t xml:space="preserve">Las centralidades de Lima Metropolitana en el siglo XXI. Una aproximación empírica</w:t>
      </w:r>
      <w:r w:rsidDel="00000000" w:rsidR="00000000" w:rsidRPr="00000000">
        <w:rPr>
          <w:rFonts w:ascii="Gill Sans" w:cs="Gill Sans" w:eastAsia="Gill Sans" w:hAnsi="Gill Sans"/>
          <w:sz w:val="20"/>
          <w:szCs w:val="20"/>
          <w:rtl w:val="0"/>
        </w:rPr>
        <w:t xml:space="preserve">. Fondo Editorial Pontificia Universidad Católica del Perú.</w:t>
      </w:r>
    </w:p>
    <w:p w:rsidR="00000000" w:rsidDel="00000000" w:rsidP="00000000" w:rsidRDefault="00000000" w:rsidRPr="00000000" w14:paraId="0000012F">
      <w:pPr>
        <w:numPr>
          <w:ilvl w:val="0"/>
          <w:numId w:val="4"/>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POLÍTICAS SOBRE EL PLAGIO</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ind w:left="720" w:hanging="720"/>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131">
      <w:pPr>
        <w:ind w:left="141"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132">
      <w:pPr>
        <w:numPr>
          <w:ilvl w:val="0"/>
          <w:numId w:val="6"/>
        </w:numPr>
        <w:spacing w:before="120" w:lineRule="auto"/>
        <w:ind w:left="425" w:hanging="283"/>
        <w:jc w:val="both"/>
        <w:rPr>
          <w:b w:val="1"/>
          <w:sz w:val="20"/>
          <w:szCs w:val="20"/>
        </w:rPr>
      </w:pPr>
      <w:r w:rsidDel="00000000" w:rsidR="00000000" w:rsidRPr="00000000">
        <w:rPr>
          <w:rFonts w:ascii="Gill Sans" w:cs="Gill Sans" w:eastAsia="Gill Sans" w:hAnsi="Gill Sans"/>
          <w:b w:val="1"/>
          <w:sz w:val="20"/>
          <w:szCs w:val="20"/>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133">
      <w:pPr>
        <w:numPr>
          <w:ilvl w:val="0"/>
          <w:numId w:val="6"/>
        </w:numPr>
        <w:spacing w:before="120" w:lineRule="auto"/>
        <w:ind w:left="425" w:hanging="283"/>
        <w:jc w:val="both"/>
        <w:rPr>
          <w:b w:val="1"/>
          <w:sz w:val="20"/>
          <w:szCs w:val="20"/>
        </w:rPr>
      </w:pPr>
      <w:r w:rsidDel="00000000" w:rsidR="00000000" w:rsidRPr="00000000">
        <w:rPr>
          <w:rFonts w:ascii="Gill Sans" w:cs="Gill Sans" w:eastAsia="Gill Sans" w:hAnsi="Gill Sans"/>
          <w:b w:val="1"/>
          <w:sz w:val="20"/>
          <w:szCs w:val="20"/>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134">
      <w:pPr>
        <w:spacing w:before="120" w:lineRule="auto"/>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35">
      <w:pPr>
        <w:numPr>
          <w:ilvl w:val="0"/>
          <w:numId w:val="4"/>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13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8">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13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(Aprobado en sesión de Consejo Universitario del 7 de abril del 2010)</w:t>
      </w:r>
    </w:p>
    <w:p w:rsidR="00000000" w:rsidDel="00000000" w:rsidP="00000000" w:rsidRDefault="00000000" w:rsidRPr="00000000" w14:paraId="0000013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Sobre el trabajo grupal, conceptos previos </w:t>
      </w:r>
    </w:p>
    <w:p w:rsidR="00000000" w:rsidDel="00000000" w:rsidP="00000000" w:rsidRDefault="00000000" w:rsidRPr="00000000" w14:paraId="0000013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13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14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4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14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14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14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14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A">
      <w:pPr>
        <w:rPr>
          <w:rFonts w:ascii="Arial" w:cs="Arial" w:eastAsia="Arial" w:hAnsi="Arial"/>
          <w:sz w:val="20"/>
          <w:szCs w:val="20"/>
        </w:rPr>
      </w:pPr>
      <w:r w:rsidDel="00000000" w:rsidR="00000000" w:rsidRPr="00000000">
        <w:rPr>
          <w:rFonts w:ascii="Arial" w:cs="Arial" w:eastAsia="Arial" w:hAnsi="Arial"/>
          <w:sz w:val="20"/>
          <w:szCs w:val="20"/>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14B">
      <w:pPr>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TRABAJOS ESCRITOS GRUPALES </w:t>
      </w:r>
    </w:p>
    <w:p w:rsidR="00000000" w:rsidDel="00000000" w:rsidP="00000000" w:rsidRDefault="00000000" w:rsidRPr="00000000" w14:paraId="0000014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14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15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1">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152">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153">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154">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155">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156">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157">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158">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159">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metodología involucrada en cada trabajo grupal. </w:t>
      </w:r>
    </w:p>
    <w:p w:rsidR="00000000" w:rsidDel="00000000" w:rsidP="00000000" w:rsidRDefault="00000000" w:rsidRPr="00000000" w14:paraId="0000015A">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número de integrantes y se recomienda no más de cuatro. </w:t>
      </w:r>
    </w:p>
    <w:p w:rsidR="00000000" w:rsidDel="00000000" w:rsidP="00000000" w:rsidRDefault="00000000" w:rsidRPr="00000000" w14:paraId="0000015B">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productos a entregar. </w:t>
      </w:r>
    </w:p>
    <w:p w:rsidR="00000000" w:rsidDel="00000000" w:rsidP="00000000" w:rsidRDefault="00000000" w:rsidRPr="00000000" w14:paraId="0000015C">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cronogramas y plazos de las entregas parciales y del trabajo escrito final. </w:t>
      </w:r>
    </w:p>
    <w:p w:rsidR="00000000" w:rsidDel="00000000" w:rsidP="00000000" w:rsidRDefault="00000000" w:rsidRPr="00000000" w14:paraId="0000015D">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criterios de evaluación, así como el peso relativo de las entregas parciales en la calificación del trabajo grupal. </w:t>
      </w:r>
    </w:p>
    <w:p w:rsidR="00000000" w:rsidDel="00000000" w:rsidP="00000000" w:rsidRDefault="00000000" w:rsidRPr="00000000" w14:paraId="0000015E">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15F">
      <w:pPr>
        <w:numPr>
          <w:ilvl w:val="0"/>
          <w:numId w:val="1"/>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cronograma de asesorías, de ser el caso. </w:t>
      </w:r>
    </w:p>
    <w:p w:rsidR="00000000" w:rsidDel="00000000" w:rsidP="00000000" w:rsidRDefault="00000000" w:rsidRPr="00000000" w14:paraId="00000160">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161">
      <w:pPr>
        <w:numPr>
          <w:ilvl w:val="0"/>
          <w:numId w:val="8"/>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162">
      <w:pPr>
        <w:numPr>
          <w:ilvl w:val="0"/>
          <w:numId w:val="8"/>
        </w:numPr>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163">
      <w:pPr>
        <w:jc w:val="both"/>
        <w:rPr>
          <w:rFonts w:ascii="Arial" w:cs="Arial" w:eastAsia="Arial" w:hAnsi="Arial"/>
        </w:rPr>
      </w:pPr>
      <w:r w:rsidDel="00000000" w:rsidR="00000000" w:rsidRPr="00000000">
        <w:rPr>
          <w:rtl w:val="0"/>
        </w:rPr>
      </w:r>
    </w:p>
    <w:tbl>
      <w:tblPr>
        <w:tblStyle w:val="Table5"/>
        <w:tblW w:w="9821.0" w:type="dxa"/>
        <w:jc w:val="left"/>
        <w:tblInd w:w="-612.0" w:type="dxa"/>
        <w:tblLayout w:type="fixed"/>
        <w:tblLook w:val="0400"/>
      </w:tblPr>
      <w:tblGrid>
        <w:gridCol w:w="2007"/>
        <w:gridCol w:w="3597"/>
        <w:gridCol w:w="1674"/>
        <w:gridCol w:w="2543"/>
        <w:tblGridChange w:id="0">
          <w:tblGrid>
            <w:gridCol w:w="2007"/>
            <w:gridCol w:w="3597"/>
            <w:gridCol w:w="1674"/>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164">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168">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A">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B">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6C">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70">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171">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2">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5">
            <w:pPr>
              <w:rPr>
                <w:rFonts w:ascii="Arial" w:cs="Arial" w:eastAsia="Arial" w:hAnsi="Arial"/>
                <w:b w:val="1"/>
              </w:rPr>
            </w:pPr>
            <w:r w:rsidDel="00000000" w:rsidR="00000000" w:rsidRPr="00000000">
              <w:rPr>
                <w:rFonts w:ascii="Arial" w:cs="Arial" w:eastAsia="Arial" w:hAnsi="Arial"/>
                <w:b w:val="1"/>
                <w:rtl w:val="0"/>
              </w:rPr>
              <w:t xml:space="preserve">Facultad de Arquitectura y Urbanismo</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7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7A">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7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80">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88">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8C">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8E">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0">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91">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4">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9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8">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9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9B">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9C">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9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9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A0">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A1">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A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A3">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A4">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A5">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A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A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A8">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A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A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AB">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AC">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A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A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A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B0">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B1">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B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B3">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B4">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B5">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B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B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B8">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BA">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BB">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1BC">
      <w:pPr>
        <w:jc w:val="both"/>
        <w:rPr>
          <w:rFonts w:ascii="Arial" w:cs="Arial" w:eastAsia="Arial" w:hAnsi="Arial"/>
        </w:rPr>
      </w:pPr>
      <w:r w:rsidDel="00000000" w:rsidR="00000000" w:rsidRPr="00000000">
        <w:rPr>
          <w:rtl w:val="0"/>
        </w:rPr>
      </w:r>
    </w:p>
    <w:p w:rsidR="00000000" w:rsidDel="00000000" w:rsidP="00000000" w:rsidRDefault="00000000" w:rsidRPr="00000000" w14:paraId="000001BD">
      <w:pPr>
        <w:jc w:val="both"/>
        <w:rPr>
          <w:rFonts w:ascii="Arial" w:cs="Arial" w:eastAsia="Arial" w:hAnsi="Arial"/>
        </w:rPr>
      </w:pPr>
      <w:r w:rsidDel="00000000" w:rsidR="00000000" w:rsidRPr="00000000">
        <w:rPr>
          <w:rtl w:val="0"/>
        </w:rPr>
      </w:r>
    </w:p>
    <w:p w:rsidR="00000000" w:rsidDel="00000000" w:rsidP="00000000" w:rsidRDefault="00000000" w:rsidRPr="00000000" w14:paraId="000001BE">
      <w:pPr>
        <w:jc w:val="both"/>
        <w:rPr>
          <w:rFonts w:ascii="Arial" w:cs="Arial" w:eastAsia="Arial" w:hAnsi="Arial"/>
        </w:rPr>
      </w:pPr>
      <w:r w:rsidDel="00000000" w:rsidR="00000000" w:rsidRPr="00000000">
        <w:rPr>
          <w:rtl w:val="0"/>
        </w:rPr>
      </w:r>
    </w:p>
    <w:p w:rsidR="00000000" w:rsidDel="00000000" w:rsidP="00000000" w:rsidRDefault="00000000" w:rsidRPr="00000000" w14:paraId="000001BF">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ANEXO</w:t>
      </w:r>
    </w:p>
    <w:p w:rsidR="00000000" w:rsidDel="00000000" w:rsidP="00000000" w:rsidRDefault="00000000" w:rsidRPr="00000000" w14:paraId="000001C1">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3">
      <w:pPr>
        <w:ind w:left="-566" w:right="-6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1C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5">
      <w:pPr>
        <w:jc w:val="both"/>
        <w:rPr>
          <w:rFonts w:ascii="Arial" w:cs="Arial" w:eastAsia="Arial" w:hAnsi="Arial"/>
          <w:sz w:val="20"/>
          <w:szCs w:val="20"/>
        </w:rPr>
      </w:pPr>
      <w:r w:rsidDel="00000000" w:rsidR="00000000" w:rsidRPr="00000000">
        <w:rPr>
          <w:rtl w:val="0"/>
        </w:rPr>
      </w:r>
    </w:p>
    <w:tbl>
      <w:tblPr>
        <w:tblStyle w:val="Table6"/>
        <w:tblW w:w="960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3360"/>
        <w:tblGridChange w:id="0">
          <w:tblGrid>
            <w:gridCol w:w="6240"/>
            <w:gridCol w:w="336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ind w:right="57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B">
            <w:pPr>
              <w:ind w:hanging="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2">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7">
            <w:pPr>
              <w:tabs>
                <w:tab w:val="left" w:leader="none" w:pos="1458"/>
              </w:tabs>
              <w:jc w:val="both"/>
              <w:rPr>
                <w:rFonts w:ascii="Arial" w:cs="Arial" w:eastAsia="Arial" w:hAnsi="Arial"/>
                <w:sz w:val="20"/>
                <w:szCs w:val="20"/>
              </w:rPr>
            </w:pPr>
            <w:bookmarkStart w:colFirst="0" w:colLast="0" w:name="_gjdgxs" w:id="0"/>
            <w:bookmarkEnd w:id="0"/>
            <w:r w:rsidDel="00000000" w:rsidR="00000000" w:rsidRPr="00000000">
              <w:rPr>
                <w:rFonts w:ascii="Arial" w:cs="Arial" w:eastAsia="Arial" w:hAnsi="Arial"/>
                <w:sz w:val="20"/>
                <w:szCs w:val="20"/>
                <w:rtl w:val="0"/>
              </w:rPr>
              <w:tab/>
            </w:r>
          </w:p>
          <w:p w:rsidR="00000000" w:rsidDel="00000000" w:rsidP="00000000" w:rsidRDefault="00000000" w:rsidRPr="00000000" w14:paraId="000001D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D">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jc w:val="both"/>
              <w:rPr>
                <w:rFonts w:ascii="Arial" w:cs="Arial" w:eastAsia="Arial" w:hAnsi="Arial"/>
              </w:rPr>
            </w:pPr>
            <w:r w:rsidDel="00000000" w:rsidR="00000000" w:rsidRPr="00000000">
              <w:rPr>
                <w:rtl w:val="0"/>
              </w:rPr>
            </w:r>
          </w:p>
          <w:p w:rsidR="00000000" w:rsidDel="00000000" w:rsidP="00000000" w:rsidRDefault="00000000" w:rsidRPr="00000000" w14:paraId="000001E1">
            <w:pPr>
              <w:jc w:val="both"/>
              <w:rPr>
                <w:rFonts w:ascii="Arial" w:cs="Arial" w:eastAsia="Arial" w:hAnsi="Arial"/>
              </w:rPr>
            </w:pPr>
            <w:r w:rsidDel="00000000" w:rsidR="00000000" w:rsidRPr="00000000">
              <w:rPr>
                <w:rtl w:val="0"/>
              </w:rPr>
            </w:r>
          </w:p>
          <w:p w:rsidR="00000000" w:rsidDel="00000000" w:rsidP="00000000" w:rsidRDefault="00000000" w:rsidRPr="00000000" w14:paraId="000001E2">
            <w:pPr>
              <w:jc w:val="both"/>
              <w:rPr>
                <w:rFonts w:ascii="Arial" w:cs="Arial" w:eastAsia="Arial" w:hAnsi="Arial"/>
              </w:rPr>
            </w:pPr>
            <w:r w:rsidDel="00000000" w:rsidR="00000000" w:rsidRPr="00000000">
              <w:rPr>
                <w:rtl w:val="0"/>
              </w:rPr>
            </w:r>
          </w:p>
          <w:p w:rsidR="00000000" w:rsidDel="00000000" w:rsidP="00000000" w:rsidRDefault="00000000" w:rsidRPr="00000000" w14:paraId="000001E3">
            <w:pPr>
              <w:jc w:val="both"/>
              <w:rPr>
                <w:rFonts w:ascii="Arial" w:cs="Arial" w:eastAsia="Arial" w:hAnsi="Arial"/>
              </w:rPr>
            </w:pPr>
            <w:r w:rsidDel="00000000" w:rsidR="00000000" w:rsidRPr="00000000">
              <w:rPr>
                <w:rtl w:val="0"/>
              </w:rPr>
            </w:r>
          </w:p>
          <w:p w:rsidR="00000000" w:rsidDel="00000000" w:rsidP="00000000" w:rsidRDefault="00000000" w:rsidRPr="00000000" w14:paraId="000001E4">
            <w:pPr>
              <w:jc w:val="both"/>
              <w:rPr>
                <w:rFonts w:ascii="Arial" w:cs="Arial" w:eastAsia="Arial" w:hAnsi="Arial"/>
              </w:rPr>
            </w:pPr>
            <w:r w:rsidDel="00000000" w:rsidR="00000000" w:rsidRPr="00000000">
              <w:rPr>
                <w:rtl w:val="0"/>
              </w:rPr>
            </w:r>
          </w:p>
          <w:p w:rsidR="00000000" w:rsidDel="00000000" w:rsidP="00000000" w:rsidRDefault="00000000" w:rsidRPr="00000000" w14:paraId="000001E5">
            <w:pPr>
              <w:jc w:val="both"/>
              <w:rPr>
                <w:rFonts w:ascii="Arial" w:cs="Arial" w:eastAsia="Arial" w:hAnsi="Arial"/>
              </w:rPr>
            </w:pPr>
            <w:r w:rsidDel="00000000" w:rsidR="00000000" w:rsidRPr="00000000">
              <w:rPr>
                <w:rtl w:val="0"/>
              </w:rPr>
            </w:r>
          </w:p>
          <w:p w:rsidR="00000000" w:rsidDel="00000000" w:rsidP="00000000" w:rsidRDefault="00000000" w:rsidRPr="00000000" w14:paraId="000001E6">
            <w:pPr>
              <w:jc w:val="both"/>
              <w:rPr>
                <w:rFonts w:ascii="Arial" w:cs="Arial" w:eastAsia="Arial" w:hAnsi="Arial"/>
              </w:rPr>
            </w:pPr>
            <w:r w:rsidDel="00000000" w:rsidR="00000000" w:rsidRPr="00000000">
              <w:rPr>
                <w:rtl w:val="0"/>
              </w:rPr>
            </w:r>
          </w:p>
          <w:p w:rsidR="00000000" w:rsidDel="00000000" w:rsidP="00000000" w:rsidRDefault="00000000" w:rsidRPr="00000000" w14:paraId="000001E7">
            <w:pPr>
              <w:jc w:val="both"/>
              <w:rPr>
                <w:rFonts w:ascii="Arial" w:cs="Arial" w:eastAsia="Arial" w:hAnsi="Arial"/>
              </w:rPr>
            </w:pPr>
            <w:r w:rsidDel="00000000" w:rsidR="00000000" w:rsidRPr="00000000">
              <w:rPr>
                <w:rtl w:val="0"/>
              </w:rPr>
            </w:r>
          </w:p>
          <w:p w:rsidR="00000000" w:rsidDel="00000000" w:rsidP="00000000" w:rsidRDefault="00000000" w:rsidRPr="00000000" w14:paraId="000001E8">
            <w:pPr>
              <w:jc w:val="both"/>
              <w:rPr>
                <w:rFonts w:ascii="Arial" w:cs="Arial" w:eastAsia="Arial" w:hAnsi="Arial"/>
              </w:rPr>
            </w:pPr>
            <w:r w:rsidDel="00000000" w:rsidR="00000000" w:rsidRPr="00000000">
              <w:rPr>
                <w:rtl w:val="0"/>
              </w:rPr>
            </w:r>
          </w:p>
          <w:p w:rsidR="00000000" w:rsidDel="00000000" w:rsidP="00000000" w:rsidRDefault="00000000" w:rsidRPr="00000000" w14:paraId="000001E9">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jc w:val="both"/>
              <w:rPr>
                <w:rFonts w:ascii="Arial" w:cs="Arial" w:eastAsia="Arial" w:hAnsi="Arial"/>
              </w:rPr>
            </w:pPr>
            <w:r w:rsidDel="00000000" w:rsidR="00000000" w:rsidRPr="00000000">
              <w:rPr>
                <w:rtl w:val="0"/>
              </w:rPr>
            </w:r>
          </w:p>
          <w:p w:rsidR="00000000" w:rsidDel="00000000" w:rsidP="00000000" w:rsidRDefault="00000000" w:rsidRPr="00000000" w14:paraId="000001EB">
            <w:pPr>
              <w:jc w:val="both"/>
              <w:rPr>
                <w:rFonts w:ascii="Arial" w:cs="Arial" w:eastAsia="Arial" w:hAnsi="Arial"/>
              </w:rPr>
            </w:pPr>
            <w:r w:rsidDel="00000000" w:rsidR="00000000" w:rsidRPr="00000000">
              <w:rPr>
                <w:rtl w:val="0"/>
              </w:rPr>
            </w:r>
          </w:p>
          <w:p w:rsidR="00000000" w:rsidDel="00000000" w:rsidP="00000000" w:rsidRDefault="00000000" w:rsidRPr="00000000" w14:paraId="000001EC">
            <w:pPr>
              <w:jc w:val="both"/>
              <w:rPr>
                <w:rFonts w:ascii="Arial" w:cs="Arial" w:eastAsia="Arial" w:hAnsi="Arial"/>
              </w:rPr>
            </w:pPr>
            <w:r w:rsidDel="00000000" w:rsidR="00000000" w:rsidRPr="00000000">
              <w:rPr>
                <w:rtl w:val="0"/>
              </w:rPr>
            </w:r>
          </w:p>
          <w:p w:rsidR="00000000" w:rsidDel="00000000" w:rsidP="00000000" w:rsidRDefault="00000000" w:rsidRPr="00000000" w14:paraId="000001ED">
            <w:pPr>
              <w:jc w:val="both"/>
              <w:rPr>
                <w:rFonts w:ascii="Arial" w:cs="Arial" w:eastAsia="Arial" w:hAnsi="Arial"/>
              </w:rPr>
            </w:pPr>
            <w:r w:rsidDel="00000000" w:rsidR="00000000" w:rsidRPr="00000000">
              <w:rPr>
                <w:rtl w:val="0"/>
              </w:rPr>
            </w:r>
          </w:p>
          <w:p w:rsidR="00000000" w:rsidDel="00000000" w:rsidP="00000000" w:rsidRDefault="00000000" w:rsidRPr="00000000" w14:paraId="000001EE">
            <w:pPr>
              <w:jc w:val="both"/>
              <w:rPr>
                <w:rFonts w:ascii="Arial" w:cs="Arial" w:eastAsia="Arial" w:hAnsi="Arial"/>
              </w:rPr>
            </w:pPr>
            <w:r w:rsidDel="00000000" w:rsidR="00000000" w:rsidRPr="00000000">
              <w:rPr>
                <w:rtl w:val="0"/>
              </w:rPr>
            </w:r>
          </w:p>
          <w:p w:rsidR="00000000" w:rsidDel="00000000" w:rsidP="00000000" w:rsidRDefault="00000000" w:rsidRPr="00000000" w14:paraId="000001EF">
            <w:pPr>
              <w:jc w:val="both"/>
              <w:rPr>
                <w:rFonts w:ascii="Arial" w:cs="Arial" w:eastAsia="Arial" w:hAnsi="Arial"/>
              </w:rPr>
            </w:pPr>
            <w:r w:rsidDel="00000000" w:rsidR="00000000" w:rsidRPr="00000000">
              <w:rPr>
                <w:rtl w:val="0"/>
              </w:rPr>
            </w:r>
          </w:p>
          <w:p w:rsidR="00000000" w:rsidDel="00000000" w:rsidP="00000000" w:rsidRDefault="00000000" w:rsidRPr="00000000" w14:paraId="000001F0">
            <w:pPr>
              <w:jc w:val="both"/>
              <w:rPr>
                <w:rFonts w:ascii="Arial" w:cs="Arial" w:eastAsia="Arial" w:hAnsi="Arial"/>
              </w:rPr>
            </w:pPr>
            <w:r w:rsidDel="00000000" w:rsidR="00000000" w:rsidRPr="00000000">
              <w:rPr>
                <w:rtl w:val="0"/>
              </w:rPr>
            </w:r>
          </w:p>
          <w:p w:rsidR="00000000" w:rsidDel="00000000" w:rsidP="00000000" w:rsidRDefault="00000000" w:rsidRPr="00000000" w14:paraId="000001F1">
            <w:pPr>
              <w:jc w:val="both"/>
              <w:rPr>
                <w:rFonts w:ascii="Arial" w:cs="Arial" w:eastAsia="Arial" w:hAnsi="Arial"/>
              </w:rPr>
            </w:pPr>
            <w:r w:rsidDel="00000000" w:rsidR="00000000" w:rsidRPr="00000000">
              <w:rPr>
                <w:rtl w:val="0"/>
              </w:rPr>
            </w:r>
          </w:p>
          <w:p w:rsidR="00000000" w:rsidDel="00000000" w:rsidP="00000000" w:rsidRDefault="00000000" w:rsidRPr="00000000" w14:paraId="000001F2">
            <w:pPr>
              <w:jc w:val="both"/>
              <w:rPr>
                <w:rFonts w:ascii="Arial" w:cs="Arial" w:eastAsia="Arial" w:hAnsi="Arial"/>
              </w:rPr>
            </w:pPr>
            <w:r w:rsidDel="00000000" w:rsidR="00000000" w:rsidRPr="00000000">
              <w:rPr>
                <w:rtl w:val="0"/>
              </w:rPr>
            </w:r>
          </w:p>
          <w:p w:rsidR="00000000" w:rsidDel="00000000" w:rsidP="00000000" w:rsidRDefault="00000000" w:rsidRPr="00000000" w14:paraId="000001F3">
            <w:pPr>
              <w:jc w:val="both"/>
              <w:rPr>
                <w:rFonts w:ascii="Arial" w:cs="Arial" w:eastAsia="Arial" w:hAnsi="Arial"/>
              </w:rPr>
            </w:pPr>
            <w:r w:rsidDel="00000000" w:rsidR="00000000" w:rsidRPr="00000000">
              <w:rPr>
                <w:rtl w:val="0"/>
              </w:rPr>
            </w:r>
          </w:p>
          <w:p w:rsidR="00000000" w:rsidDel="00000000" w:rsidP="00000000" w:rsidRDefault="00000000" w:rsidRPr="00000000" w14:paraId="000001F4">
            <w:pPr>
              <w:jc w:val="both"/>
              <w:rPr>
                <w:rFonts w:ascii="Arial" w:cs="Arial" w:eastAsia="Arial" w:hAnsi="Arial"/>
              </w:rPr>
            </w:pPr>
            <w:r w:rsidDel="00000000" w:rsidR="00000000" w:rsidRPr="00000000">
              <w:rPr>
                <w:rtl w:val="0"/>
              </w:rPr>
            </w:r>
          </w:p>
          <w:p w:rsidR="00000000" w:rsidDel="00000000" w:rsidP="00000000" w:rsidRDefault="00000000" w:rsidRPr="00000000" w14:paraId="000001F5">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F7">
      <w:pPr>
        <w:jc w:val="both"/>
        <w:rPr>
          <w:rFonts w:ascii="Arial" w:cs="Arial" w:eastAsia="Arial" w:hAnsi="Arial"/>
        </w:rPr>
      </w:pPr>
      <w:r w:rsidDel="00000000" w:rsidR="00000000" w:rsidRPr="00000000">
        <w:rPr>
          <w:rtl w:val="0"/>
        </w:rPr>
      </w:r>
    </w:p>
    <w:p w:rsidR="00000000" w:rsidDel="00000000" w:rsidP="00000000" w:rsidRDefault="00000000" w:rsidRPr="00000000" w14:paraId="000001F8">
      <w:pPr>
        <w:tabs>
          <w:tab w:val="left" w:leader="none" w:pos="720"/>
        </w:tabs>
        <w:jc w:val="both"/>
        <w:rPr>
          <w:rFonts w:ascii="Arial" w:cs="Arial" w:eastAsia="Arial" w:hAnsi="Arial"/>
          <w:sz w:val="20"/>
          <w:szCs w:val="20"/>
        </w:rPr>
      </w:pPr>
      <w:r w:rsidDel="00000000" w:rsidR="00000000" w:rsidRPr="00000000">
        <w:rPr>
          <w:rtl w:val="0"/>
        </w:rPr>
      </w:r>
    </w:p>
    <w:sectPr>
      <w:headerReference r:id="rId11" w:type="first"/>
      <w:type w:val="nextPage"/>
      <w:pgSz w:h="16840" w:w="11900" w:orient="portrait"/>
      <w:pgMar w:bottom="1440" w:top="1440" w:left="1797" w:right="1797"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alibri"/>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2"/>
        <w:szCs w:val="22"/>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leader="none" w:pos="4680"/>
        <w:tab w:val="right" w:leader="none" w:pos="9360"/>
      </w:tabs>
      <w:jc w:val="right"/>
      <w:rPr>
        <w:rFonts w:ascii="Gill Sans" w:cs="Gill Sans" w:eastAsia="Gill Sans" w:hAnsi="Gill Sans"/>
        <w:color w:val="000000"/>
        <w:sz w:val="20"/>
        <w:szCs w:val="20"/>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line="276" w:lineRule="auto"/>
      <w:rPr>
        <w:rFonts w:ascii="Cabin" w:cs="Cabin" w:eastAsia="Cabin" w:hAnsi="Cabin"/>
        <w:color w:val="000000"/>
        <w:sz w:val="22"/>
        <w:szCs w:val="22"/>
      </w:rPr>
    </w:pPr>
    <w:r w:rsidDel="00000000" w:rsidR="00000000" w:rsidRPr="00000000">
      <w:rPr>
        <w:rtl w:val="0"/>
      </w:rPr>
    </w:r>
  </w:p>
  <w:tbl>
    <w:tblPr>
      <w:tblStyle w:val="Table7"/>
      <w:tblW w:w="8548.0" w:type="dxa"/>
      <w:jc w:val="center"/>
      <w:tblLayout w:type="fixed"/>
      <w:tblLook w:val="0000"/>
    </w:tblPr>
    <w:tblGrid>
      <w:gridCol w:w="3273"/>
      <w:gridCol w:w="5275"/>
      <w:tblGridChange w:id="0">
        <w:tblGrid>
          <w:gridCol w:w="3273"/>
          <w:gridCol w:w="5275"/>
        </w:tblGrid>
      </w:tblGridChange>
    </w:tblGrid>
    <w:tr>
      <w:trPr>
        <w:cantSplit w:val="0"/>
        <w:trHeight w:val="1110" w:hRule="atLeast"/>
        <w:tblHeader w:val="0"/>
      </w:trPr>
      <w:tc>
        <w:tcPr/>
        <w:p w:rsidR="00000000" w:rsidDel="00000000" w:rsidP="00000000" w:rsidRDefault="00000000" w:rsidRPr="00000000" w14:paraId="000001FA">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jc w:val="both"/>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FACULTAD DE</w:t>
          </w:r>
        </w:p>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Fonts w:ascii="Gill Sans" w:cs="Gill Sans" w:eastAsia="Gill Sans" w:hAnsi="Gill Sans"/>
              <w:b w:val="1"/>
              <w:rtl w:val="0"/>
            </w:rPr>
            <w:t xml:space="preserve">Arquitectura y Urbanismo</w:t>
          </w:r>
          <w:r w:rsidDel="00000000" w:rsidR="00000000" w:rsidRPr="00000000">
            <w:rPr>
              <w:rtl w:val="0"/>
            </w:rPr>
          </w:r>
        </w:p>
      </w:tc>
      <w:tc>
        <w:tcPr/>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drawing>
              <wp:inline distB="114300" distT="114300" distL="114300" distR="114300">
                <wp:extent cx="1450657" cy="72532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color w:val="000000"/>
              <w:rtl w:val="0"/>
            </w:rPr>
            <w:t xml:space="preserve">  </w:t>
          </w:r>
        </w:p>
      </w:tc>
    </w:tr>
  </w:tbl>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8"/>
      <w:tblW w:w="8548.0" w:type="dxa"/>
      <w:jc w:val="center"/>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200">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color w:val="000000"/>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color w:val="000000"/>
              <w:sz w:val="22"/>
              <w:szCs w:val="22"/>
              <w:rtl w:val="0"/>
            </w:rPr>
            <w:t xml:space="preserve"> Facultad </w:t>
          </w:r>
          <w:r w:rsidDel="00000000" w:rsidR="00000000" w:rsidRPr="00000000">
            <w:rPr>
              <w:rFonts w:ascii="Gill Sans" w:cs="Gill Sans" w:eastAsia="Gill Sans" w:hAnsi="Gill Sans"/>
              <w:sz w:val="22"/>
              <w:szCs w:val="22"/>
              <w:rtl w:val="0"/>
            </w:rPr>
            <w:t xml:space="preserve">de Arquitectura y Urbanismo</w:t>
          </w:r>
          <w:r w:rsidDel="00000000" w:rsidR="00000000" w:rsidRPr="00000000">
            <w:rPr>
              <w:rtl w:val="0"/>
            </w:rPr>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URB-210</w:t>
          </w:r>
          <w:r w:rsidDel="00000000" w:rsidR="00000000" w:rsidRPr="00000000">
            <w:rPr>
              <w:rFonts w:ascii="Gill Sans" w:cs="Gill Sans" w:eastAsia="Gill Sans" w:hAnsi="Gill Sans"/>
              <w:b w:val="1"/>
              <w:color w:val="000000"/>
              <w:sz w:val="22"/>
              <w:szCs w:val="22"/>
              <w:rtl w:val="0"/>
            </w:rPr>
            <w:t xml:space="preserve"> – TALLER DE URBANISMO 2</w:t>
          </w:r>
        </w:p>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9"/>
      <w:tblW w:w="8306.0" w:type="dxa"/>
      <w:jc w:val="center"/>
      <w:tblLayout w:type="fixed"/>
      <w:tblLook w:val="0000"/>
    </w:tblPr>
    <w:tblGrid>
      <w:gridCol w:w="3180"/>
      <w:gridCol w:w="5126"/>
      <w:tblGridChange w:id="0">
        <w:tblGrid>
          <w:gridCol w:w="3180"/>
          <w:gridCol w:w="5126"/>
        </w:tblGrid>
      </w:tblGridChange>
    </w:tblGrid>
    <w:tr>
      <w:trPr>
        <w:cantSplit w:val="0"/>
        <w:tblHeader w:val="0"/>
      </w:trPr>
      <w:tc>
        <w:tcPr/>
        <w:p w:rsidR="00000000" w:rsidDel="00000000" w:rsidP="00000000" w:rsidRDefault="00000000" w:rsidRPr="00000000" w14:paraId="00000208">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sz w:val="22"/>
              <w:szCs w:val="22"/>
              <w:rtl w:val="0"/>
            </w:rPr>
            <w:t xml:space="preserve"> Facultad de Arquitectura y Urbanismo</w:t>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URB-210</w:t>
          </w:r>
          <w:r w:rsidDel="00000000" w:rsidR="00000000" w:rsidRPr="00000000">
            <w:rPr>
              <w:rFonts w:ascii="Gill Sans" w:cs="Gill Sans" w:eastAsia="Gill Sans" w:hAnsi="Gill Sans"/>
              <w:b w:val="1"/>
              <w:color w:val="000000"/>
              <w:sz w:val="22"/>
              <w:szCs w:val="22"/>
              <w:rtl w:val="0"/>
            </w:rPr>
            <w:t xml:space="preserve"> – TALLER DE URBANISMO 2</w:t>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2">
    <w:lvl w:ilvl="0">
      <w:start w:val="1"/>
      <w:numFmt w:val="bullet"/>
      <w:lvlText w:val="-"/>
      <w:lvlJc w:val="left"/>
      <w:pPr>
        <w:ind w:left="405" w:hanging="360"/>
      </w:pPr>
      <w:rPr>
        <w:rFonts w:ascii="Calibri" w:cs="Calibri" w:eastAsia="Calibri" w:hAnsi="Calibri"/>
      </w:rPr>
    </w:lvl>
    <w:lvl w:ilvl="1">
      <w:start w:val="1"/>
      <w:numFmt w:val="bullet"/>
      <w:lvlText w:val="o"/>
      <w:lvlJc w:val="left"/>
      <w:pPr>
        <w:ind w:left="1125" w:hanging="360"/>
      </w:pPr>
      <w:rPr>
        <w:rFonts w:ascii="Courier New" w:cs="Courier New" w:eastAsia="Courier New" w:hAnsi="Courier New"/>
      </w:rPr>
    </w:lvl>
    <w:lvl w:ilvl="2">
      <w:start w:val="1"/>
      <w:numFmt w:val="bullet"/>
      <w:lvlText w:val="▪"/>
      <w:lvlJc w:val="left"/>
      <w:pPr>
        <w:ind w:left="1845" w:hanging="360"/>
      </w:pPr>
      <w:rPr>
        <w:rFonts w:ascii="Noto Sans Symbols" w:cs="Noto Sans Symbols" w:eastAsia="Noto Sans Symbols" w:hAnsi="Noto Sans Symbols"/>
      </w:rPr>
    </w:lvl>
    <w:lvl w:ilvl="3">
      <w:start w:val="1"/>
      <w:numFmt w:val="bullet"/>
      <w:lvlText w:val="●"/>
      <w:lvlJc w:val="left"/>
      <w:pPr>
        <w:ind w:left="2565" w:hanging="360"/>
      </w:pPr>
      <w:rPr>
        <w:rFonts w:ascii="Noto Sans Symbols" w:cs="Noto Sans Symbols" w:eastAsia="Noto Sans Symbols" w:hAnsi="Noto Sans Symbols"/>
      </w:rPr>
    </w:lvl>
    <w:lvl w:ilvl="4">
      <w:start w:val="1"/>
      <w:numFmt w:val="bullet"/>
      <w:lvlText w:val="o"/>
      <w:lvlJc w:val="left"/>
      <w:pPr>
        <w:ind w:left="3285" w:hanging="360"/>
      </w:pPr>
      <w:rPr>
        <w:rFonts w:ascii="Courier New" w:cs="Courier New" w:eastAsia="Courier New" w:hAnsi="Courier New"/>
      </w:rPr>
    </w:lvl>
    <w:lvl w:ilvl="5">
      <w:start w:val="1"/>
      <w:numFmt w:val="bullet"/>
      <w:lvlText w:val="▪"/>
      <w:lvlJc w:val="left"/>
      <w:pPr>
        <w:ind w:left="4005" w:hanging="360"/>
      </w:pPr>
      <w:rPr>
        <w:rFonts w:ascii="Noto Sans Symbols" w:cs="Noto Sans Symbols" w:eastAsia="Noto Sans Symbols" w:hAnsi="Noto Sans Symbols"/>
      </w:rPr>
    </w:lvl>
    <w:lvl w:ilvl="6">
      <w:start w:val="1"/>
      <w:numFmt w:val="bullet"/>
      <w:lvlText w:val="●"/>
      <w:lvlJc w:val="left"/>
      <w:pPr>
        <w:ind w:left="4725" w:hanging="360"/>
      </w:pPr>
      <w:rPr>
        <w:rFonts w:ascii="Noto Sans Symbols" w:cs="Noto Sans Symbols" w:eastAsia="Noto Sans Symbols" w:hAnsi="Noto Sans Symbols"/>
      </w:rPr>
    </w:lvl>
    <w:lvl w:ilvl="7">
      <w:start w:val="1"/>
      <w:numFmt w:val="bullet"/>
      <w:lvlText w:val="o"/>
      <w:lvlJc w:val="left"/>
      <w:pPr>
        <w:ind w:left="5445" w:hanging="360"/>
      </w:pPr>
      <w:rPr>
        <w:rFonts w:ascii="Courier New" w:cs="Courier New" w:eastAsia="Courier New" w:hAnsi="Courier New"/>
      </w:rPr>
    </w:lvl>
    <w:lvl w:ilvl="8">
      <w:start w:val="1"/>
      <w:numFmt w:val="bullet"/>
      <w:lvlText w:val="▪"/>
      <w:lvlJc w:val="left"/>
      <w:pPr>
        <w:ind w:left="6165"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7">
    <w:lvl w:ilvl="0">
      <w:start w:val="1"/>
      <w:numFmt w:val="bullet"/>
      <w:lvlText w:val="-"/>
      <w:lvlJc w:val="left"/>
      <w:pPr>
        <w:ind w:left="405" w:hanging="360"/>
      </w:pPr>
      <w:rPr>
        <w:rFonts w:ascii="Calibri" w:cs="Calibri" w:eastAsia="Calibri" w:hAnsi="Calibri"/>
      </w:rPr>
    </w:lvl>
    <w:lvl w:ilvl="1">
      <w:start w:val="1"/>
      <w:numFmt w:val="bullet"/>
      <w:lvlText w:val="o"/>
      <w:lvlJc w:val="left"/>
      <w:pPr>
        <w:ind w:left="1125" w:hanging="360"/>
      </w:pPr>
      <w:rPr>
        <w:rFonts w:ascii="Courier New" w:cs="Courier New" w:eastAsia="Courier New" w:hAnsi="Courier New"/>
      </w:rPr>
    </w:lvl>
    <w:lvl w:ilvl="2">
      <w:start w:val="1"/>
      <w:numFmt w:val="bullet"/>
      <w:lvlText w:val="▪"/>
      <w:lvlJc w:val="left"/>
      <w:pPr>
        <w:ind w:left="1845" w:hanging="360"/>
      </w:pPr>
      <w:rPr>
        <w:rFonts w:ascii="Noto Sans Symbols" w:cs="Noto Sans Symbols" w:eastAsia="Noto Sans Symbols" w:hAnsi="Noto Sans Symbols"/>
      </w:rPr>
    </w:lvl>
    <w:lvl w:ilvl="3">
      <w:start w:val="1"/>
      <w:numFmt w:val="bullet"/>
      <w:lvlText w:val="●"/>
      <w:lvlJc w:val="left"/>
      <w:pPr>
        <w:ind w:left="2565" w:hanging="360"/>
      </w:pPr>
      <w:rPr>
        <w:rFonts w:ascii="Noto Sans Symbols" w:cs="Noto Sans Symbols" w:eastAsia="Noto Sans Symbols" w:hAnsi="Noto Sans Symbols"/>
      </w:rPr>
    </w:lvl>
    <w:lvl w:ilvl="4">
      <w:start w:val="1"/>
      <w:numFmt w:val="bullet"/>
      <w:lvlText w:val="o"/>
      <w:lvlJc w:val="left"/>
      <w:pPr>
        <w:ind w:left="3285" w:hanging="360"/>
      </w:pPr>
      <w:rPr>
        <w:rFonts w:ascii="Courier New" w:cs="Courier New" w:eastAsia="Courier New" w:hAnsi="Courier New"/>
      </w:rPr>
    </w:lvl>
    <w:lvl w:ilvl="5">
      <w:start w:val="1"/>
      <w:numFmt w:val="bullet"/>
      <w:lvlText w:val="▪"/>
      <w:lvlJc w:val="left"/>
      <w:pPr>
        <w:ind w:left="4005" w:hanging="360"/>
      </w:pPr>
      <w:rPr>
        <w:rFonts w:ascii="Noto Sans Symbols" w:cs="Noto Sans Symbols" w:eastAsia="Noto Sans Symbols" w:hAnsi="Noto Sans Symbols"/>
      </w:rPr>
    </w:lvl>
    <w:lvl w:ilvl="6">
      <w:start w:val="1"/>
      <w:numFmt w:val="bullet"/>
      <w:lvlText w:val="●"/>
      <w:lvlJc w:val="left"/>
      <w:pPr>
        <w:ind w:left="4725" w:hanging="360"/>
      </w:pPr>
      <w:rPr>
        <w:rFonts w:ascii="Noto Sans Symbols" w:cs="Noto Sans Symbols" w:eastAsia="Noto Sans Symbols" w:hAnsi="Noto Sans Symbols"/>
      </w:rPr>
    </w:lvl>
    <w:lvl w:ilvl="7">
      <w:start w:val="1"/>
      <w:numFmt w:val="bullet"/>
      <w:lvlText w:val="o"/>
      <w:lvlJc w:val="left"/>
      <w:pPr>
        <w:ind w:left="5445" w:hanging="360"/>
      </w:pPr>
      <w:rPr>
        <w:rFonts w:ascii="Courier New" w:cs="Courier New" w:eastAsia="Courier New" w:hAnsi="Courier New"/>
      </w:rPr>
    </w:lvl>
    <w:lvl w:ilvl="8">
      <w:start w:val="1"/>
      <w:numFmt w:val="bullet"/>
      <w:lvlText w:val="▪"/>
      <w:lvlJc w:val="left"/>
      <w:pPr>
        <w:ind w:left="6165"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